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2.7</w:t>
      </w:r>
    </w:p>
    <w:p>
      <w:pPr>
        <w:pStyle w:val="Heading1"/>
      </w:pPr>
      <w:r>
        <w:t>Kriterien am Ablauf einer Veranstaltung festlegen</w:t>
      </w:r>
    </w:p>
    <w:p>
      <w:pPr>
        <w:spacing w:after="0"/>
      </w:pPr>
      <w:r>
        <w:rPr>
          <w:b w:val="0"/>
          <w:i/>
          <w:color w:val="5A5A5A"/>
        </w:rPr>
        <w:t>Abschnitt 2.7 · Die Veranstaltung operativ planen</w:t>
      </w:r>
    </w:p>
    <w:p>
      <w:pPr>
        <w:spacing w:after="160"/>
      </w:pPr>
      <w:r>
        <w:rPr>
          <w:b w:val="0"/>
          <w:i w:val="0"/>
          <w:color w:val="5A5A5A"/>
          <w:sz w:val="18"/>
        </w:rPr>
        <w:t>Modellfall im Buch: Villach</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Ihr Haus beim nächsten Kongress auf einer Nachhaltigkeitscheckliste überall «ja» ankreuzt: Könnte jemand in Ihrem Ablaufplan zeigen, an welcher Stelle und zu welcher Uhrzeit dieses «ja» eingelöst wird? Und wer merkt es, wenn es nicht eingelöst wird?</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Fünf Vorgänge mit Kriterium, Kongress im Mai</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Vorgang</w:t>
            </w:r>
          </w:p>
        </w:tc>
        <w:tc>
          <w:tcPr>
            <w:tcW w:type="dxa" w:w="3213"/>
            <w:shd w:val="clear" w:color="auto" w:fill="8C5A2B"/>
          </w:tcPr>
          <w:p>
            <w:pPr>
              <w:spacing w:after="0" w:before="0"/>
            </w:pPr>
            <w:r/>
            <w:r>
              <w:rPr>
                <w:b/>
                <w:i w:val="0"/>
                <w:color w:val="FFFFFF"/>
                <w:sz w:val="18"/>
              </w:rPr>
              <w:t>Kriterium</w:t>
            </w:r>
          </w:p>
        </w:tc>
        <w:tc>
          <w:tcPr>
            <w:tcW w:type="dxa" w:w="3213"/>
            <w:shd w:val="clear" w:color="auto" w:fill="8C5A2B"/>
          </w:tcPr>
          <w:p>
            <w:pPr>
              <w:spacing w:after="0" w:before="0"/>
            </w:pPr>
            <w:r/>
            <w:r>
              <w:rPr>
                <w:b/>
                <w:i w:val="0"/>
                <w:color w:val="FFFFFF"/>
                <w:sz w:val="18"/>
              </w:rPr>
              <w:t>Wer prüft, wann</w:t>
            </w:r>
          </w:p>
        </w:tc>
      </w:tr>
      <w:tr>
        <w:trPr>
          <w:cantSplit w:val="true"/>
        </w:trPr>
        <w:tc>
          <w:tcPr>
            <w:tcW w:type="dxa" w:w="3213"/>
          </w:tcPr>
          <w:p>
            <w:pPr>
              <w:spacing w:after="0" w:before="0"/>
            </w:pPr>
            <w:r/>
            <w:r>
              <w:rPr>
                <w:b w:val="0"/>
                <w:i w:val="0"/>
                <w:color w:val="1A1A1A"/>
                <w:sz w:val="18"/>
              </w:rPr>
              <w:t>Verpflegung</w:t>
            </w:r>
          </w:p>
        </w:tc>
        <w:tc>
          <w:tcPr>
            <w:tcW w:type="dxa" w:w="3213"/>
          </w:tcPr>
          <w:p>
            <w:pPr>
              <w:spacing w:after="0" w:before="0"/>
            </w:pPr>
            <w:r/>
            <w:r>
              <w:rPr>
                <w:b w:val="0"/>
                <w:i w:val="0"/>
                <w:color w:val="1A1A1A"/>
                <w:sz w:val="18"/>
              </w:rPr>
              <w:t>Mittag nach bestätigter Zahl vom Vortag; am Abreisetag nach Check-out-Stand um 10 Uhr; nachlegen statt voll aufbauen; Reste wiegen</w:t>
            </w:r>
          </w:p>
        </w:tc>
        <w:tc>
          <w:tcPr>
            <w:tcW w:type="dxa" w:w="3213"/>
          </w:tcPr>
          <w:p>
            <w:pPr>
              <w:spacing w:after="0" w:before="0"/>
            </w:pPr>
            <w:r/>
            <w:r>
              <w:rPr>
                <w:b w:val="0"/>
                <w:i w:val="0"/>
                <w:color w:val="1A1A1A"/>
                <w:sz w:val="18"/>
              </w:rPr>
              <w:t>Küchenchef, täglich 10 Uhr und nach dem Service</w:t>
            </w:r>
          </w:p>
        </w:tc>
      </w:tr>
      <w:tr>
        <w:trPr>
          <w:cantSplit w:val="true"/>
        </w:trPr>
        <w:tc>
          <w:tcPr>
            <w:tcW w:type="dxa" w:w="3213"/>
            <w:shd w:val="clear" w:color="auto" w:fill="F3EFE6"/>
          </w:tcPr>
          <w:p>
            <w:pPr>
              <w:spacing w:after="0" w:before="0"/>
            </w:pPr>
            <w:r/>
            <w:r>
              <w:rPr>
                <w:b w:val="0"/>
                <w:i w:val="0"/>
                <w:color w:val="1A1A1A"/>
                <w:sz w:val="18"/>
              </w:rPr>
              <w:t>Geschirr</w:t>
            </w:r>
          </w:p>
        </w:tc>
        <w:tc>
          <w:tcPr>
            <w:tcW w:type="dxa" w:w="3213"/>
            <w:shd w:val="clear" w:color="auto" w:fill="F3EFE6"/>
          </w:tcPr>
          <w:p>
            <w:pPr>
              <w:spacing w:after="0" w:before="0"/>
            </w:pPr>
            <w:r/>
            <w:r>
              <w:rPr>
                <w:b w:val="0"/>
                <w:i w:val="0"/>
                <w:color w:val="1A1A1A"/>
                <w:sz w:val="18"/>
              </w:rPr>
              <w:t>Mehrweg in allen Pausen; Einweg nur mit Freigabe der Bankettleitung und Vermerk</w:t>
            </w:r>
          </w:p>
        </w:tc>
        <w:tc>
          <w:tcPr>
            <w:tcW w:type="dxa" w:w="3213"/>
            <w:shd w:val="clear" w:color="auto" w:fill="F3EFE6"/>
          </w:tcPr>
          <w:p>
            <w:pPr>
              <w:spacing w:after="0" w:before="0"/>
            </w:pPr>
            <w:r/>
            <w:r>
              <w:rPr>
                <w:b w:val="0"/>
                <w:i w:val="0"/>
                <w:color w:val="1A1A1A"/>
                <w:sz w:val="18"/>
              </w:rPr>
              <w:t>Bankettleitung, bei jeder Pause</w:t>
            </w:r>
          </w:p>
        </w:tc>
      </w:tr>
      <w:tr>
        <w:trPr>
          <w:cantSplit w:val="true"/>
        </w:trPr>
        <w:tc>
          <w:tcPr>
            <w:tcW w:type="dxa" w:w="3213"/>
          </w:tcPr>
          <w:p>
            <w:pPr>
              <w:spacing w:after="0" w:before="0"/>
            </w:pPr>
            <w:r/>
            <w:r>
              <w:rPr>
                <w:b w:val="0"/>
                <w:i w:val="0"/>
                <w:color w:val="1A1A1A"/>
                <w:sz w:val="18"/>
              </w:rPr>
              <w:t>Energie im Saal</w:t>
            </w:r>
          </w:p>
        </w:tc>
        <w:tc>
          <w:tcPr>
            <w:tcW w:type="dxa" w:w="3213"/>
          </w:tcPr>
          <w:p>
            <w:pPr>
              <w:spacing w:after="0" w:before="0"/>
            </w:pPr>
            <w:r/>
            <w:r>
              <w:rPr>
                <w:b w:val="0"/>
                <w:i w:val="0"/>
                <w:color w:val="1A1A1A"/>
                <w:sz w:val="18"/>
              </w:rPr>
              <w:t>Lüftung nach Stundenplan; außerhalb des Programms abgesenkt; Aufbautage nur Foyer</w:t>
            </w:r>
          </w:p>
        </w:tc>
        <w:tc>
          <w:tcPr>
            <w:tcW w:type="dxa" w:w="3213"/>
          </w:tcPr>
          <w:p>
            <w:pPr>
              <w:spacing w:after="0" w:before="0"/>
            </w:pPr>
            <w:r/>
            <w:r>
              <w:rPr>
                <w:b w:val="0"/>
                <w:i w:val="0"/>
                <w:color w:val="1A1A1A"/>
                <w:sz w:val="18"/>
              </w:rPr>
              <w:t>Haustechniker, Plan zwei Tage vorher, Kontrolle abends</w:t>
            </w:r>
          </w:p>
        </w:tc>
      </w:tr>
      <w:tr>
        <w:trPr>
          <w:cantSplit w:val="true"/>
        </w:trPr>
        <w:tc>
          <w:tcPr>
            <w:tcW w:type="dxa" w:w="3213"/>
            <w:shd w:val="clear" w:color="auto" w:fill="F3EFE6"/>
          </w:tcPr>
          <w:p>
            <w:pPr>
              <w:spacing w:after="0" w:before="0"/>
            </w:pPr>
            <w:r/>
            <w:r>
              <w:rPr>
                <w:b w:val="0"/>
                <w:i w:val="0"/>
                <w:color w:val="1A1A1A"/>
                <w:sz w:val="18"/>
              </w:rPr>
              <w:t>Abfall</w:t>
            </w:r>
          </w:p>
        </w:tc>
        <w:tc>
          <w:tcPr>
            <w:tcW w:type="dxa" w:w="3213"/>
            <w:shd w:val="clear" w:color="auto" w:fill="F3EFE6"/>
          </w:tcPr>
          <w:p>
            <w:pPr>
              <w:spacing w:after="0" w:before="0"/>
            </w:pPr>
            <w:r/>
            <w:r>
              <w:rPr>
                <w:b w:val="0"/>
                <w:i w:val="0"/>
                <w:color w:val="1A1A1A"/>
                <w:sz w:val="18"/>
              </w:rPr>
              <w:t>Trennbehälter an jeder Kaffeestation und im Ausstellungsbereich; Abbau mit Rücknahme durch die Aussteller</w:t>
            </w:r>
          </w:p>
        </w:tc>
        <w:tc>
          <w:tcPr>
            <w:tcW w:type="dxa" w:w="3213"/>
            <w:shd w:val="clear" w:color="auto" w:fill="F3EFE6"/>
          </w:tcPr>
          <w:p>
            <w:pPr>
              <w:spacing w:after="0" w:before="0"/>
            </w:pPr>
            <w:r/>
            <w:r>
              <w:rPr>
                <w:b w:val="0"/>
                <w:i w:val="0"/>
                <w:color w:val="1A1A1A"/>
                <w:sz w:val="18"/>
              </w:rPr>
              <w:t>Bankettleitung, Rundgang 7 und 19 Uhr; Abbauabnahme</w:t>
            </w:r>
          </w:p>
        </w:tc>
      </w:tr>
      <w:tr>
        <w:trPr>
          <w:cantSplit w:val="true"/>
        </w:trPr>
        <w:tc>
          <w:tcPr>
            <w:tcW w:type="dxa" w:w="3213"/>
          </w:tcPr>
          <w:p>
            <w:pPr>
              <w:spacing w:after="0" w:before="0"/>
            </w:pPr>
            <w:r/>
            <w:r>
              <w:rPr>
                <w:b w:val="0"/>
                <w:i w:val="0"/>
                <w:color w:val="1A1A1A"/>
                <w:sz w:val="18"/>
              </w:rPr>
              <w:t>Übergaben</w:t>
            </w:r>
          </w:p>
        </w:tc>
        <w:tc>
          <w:tcPr>
            <w:tcW w:type="dxa" w:w="3213"/>
          </w:tcPr>
          <w:p>
            <w:pPr>
              <w:spacing w:after="0" w:before="0"/>
            </w:pPr>
            <w:r/>
            <w:r>
              <w:rPr>
                <w:b w:val="0"/>
                <w:i w:val="0"/>
                <w:color w:val="1A1A1A"/>
                <w:sz w:val="18"/>
              </w:rPr>
              <w:t>Abbau, Reste und Endzeiten mit Agentur und Messebau schriftlich vereinbart; Abendschicht informiert</w:t>
            </w:r>
          </w:p>
        </w:tc>
        <w:tc>
          <w:tcPr>
            <w:tcW w:type="dxa" w:w="3213"/>
          </w:tcPr>
          <w:p>
            <w:pPr>
              <w:spacing w:after="0" w:before="0"/>
            </w:pPr>
            <w:r/>
            <w:r>
              <w:rPr>
                <w:b w:val="0"/>
                <w:i w:val="0"/>
                <w:color w:val="1A1A1A"/>
                <w:sz w:val="18"/>
              </w:rPr>
              <w:t>Bankettleitung, vier Wochen vorher und am Abbautag</w:t>
            </w:r>
          </w:p>
        </w:tc>
      </w:tr>
    </w:tbl>
    <w:p>
      <w:pPr>
        <w:spacing w:after="40"/>
      </w:pPr>
    </w:p>
    <w:p>
      <w:pPr>
        <w:pStyle w:val="Heading2"/>
      </w:pPr>
      <w:r>
        <w:t>Praktische Anwendung: Kriterien am Ablauf einer Veranstaltung festlegen in sieben Schritten</w:t>
      </w:r>
    </w:p>
    <w:p>
      <w:pPr>
        <w:tabs>
          <w:tab w:pos="340" w:val="left"/>
        </w:tabs>
        <w:ind w:left="340" w:hanging="340"/>
      </w:pPr>
      <w:r>
        <w:rPr>
          <w:b/>
          <w:color w:val="8C5A2B"/>
        </w:rPr>
        <w:t>1.</w:t>
        <w:tab/>
      </w:r>
      <w:r>
        <w:rPr>
          <w:b/>
        </w:rPr>
        <w:t>Den Ablauf in Vorgänge zerlegen.</w:t>
      </w:r>
      <w:r>
        <w:t xml:space="preserve"> Von der Buchung bis zur Nachbesprechung, mit Uhrzeiten: Aufbau, Einlass, Pausen, Mahlzeiten, Abbau, Abreise. Grundlage ist der Ablaufplan der Agentur, den das Haus spätestens sechs Wochen vorher verlangt.</w:t>
      </w:r>
    </w:p>
    <w:p>
      <w:pPr>
        <w:tabs>
          <w:tab w:pos="340" w:val="left"/>
        </w:tabs>
        <w:ind w:left="340" w:hanging="340"/>
      </w:pPr>
      <w:r>
        <w:rPr>
          <w:b/>
          <w:color w:val="8C5A2B"/>
        </w:rPr>
        <w:t>2.</w:t>
        <w:tab/>
      </w:r>
      <w:r>
        <w:rPr>
          <w:b/>
        </w:rPr>
        <w:t>Die Vorgänge mit Wirkung auswählen.</w:t>
      </w:r>
      <w:r>
        <w:t xml:space="preserve"> Welche Vorgänge berühren ein bedeutendes Thema (2.5) oder ein erkanntes Risiko (2.6)? Für einen Kongress sind es meist fünf bis sieben. Die übrigen bleiben bei den bisherigen Abläufen.</w:t>
      </w:r>
    </w:p>
    <w:p>
      <w:pPr>
        <w:tabs>
          <w:tab w:pos="340" w:val="left"/>
        </w:tabs>
        <w:ind w:left="340" w:hanging="340"/>
      </w:pPr>
      <w:r>
        <w:rPr>
          <w:b/>
          <w:color w:val="8C5A2B"/>
        </w:rPr>
        <w:t>3.</w:t>
        <w:tab/>
      </w:r>
      <w:r>
        <w:rPr>
          <w:b/>
        </w:rPr>
        <w:t>Für jeden Vorgang ein Kriterium schreiben.</w:t>
      </w:r>
      <w:r>
        <w:t xml:space="preserve"> Eine Bedingung, die man prüfen kann, mit der Zahl, an der gesteuert wird: bestätigte Teilnehmerzahl je Mahlzeit, Stundenplan des Saals, Zahl der Stände.</w:t>
      </w:r>
    </w:p>
    <w:p>
      <w:pPr>
        <w:tabs>
          <w:tab w:pos="340" w:val="left"/>
        </w:tabs>
        <w:ind w:left="340" w:hanging="340"/>
      </w:pPr>
      <w:r>
        <w:rPr>
          <w:b/>
          <w:color w:val="8C5A2B"/>
        </w:rPr>
        <w:t>4.</w:t>
        <w:tab/>
      </w:r>
      <w:r>
        <w:rPr>
          <w:b/>
        </w:rPr>
        <w:t>Das Kriterium in das Arbeitspapier schreiben.</w:t>
      </w:r>
      <w:r>
        <w:t xml:space="preserve"> In das Bankettformular, den Produktionsplan der Küche, den Belegungsplan der Gebäudeleittechnik. Ein eigenes Nachhaltigkeitsblatt daneben entfällt.</w:t>
      </w:r>
    </w:p>
    <w:p>
      <w:pPr>
        <w:tabs>
          <w:tab w:pos="340" w:val="left"/>
        </w:tabs>
        <w:ind w:left="340" w:hanging="340"/>
      </w:pPr>
      <w:r>
        <w:rPr>
          <w:b/>
          <w:color w:val="8C5A2B"/>
        </w:rPr>
        <w:t>5.</w:t>
        <w:tab/>
      </w:r>
      <w:r>
        <w:rPr>
          <w:b/>
        </w:rPr>
        <w:t>Prüfer und Zeitpunkt bestimmen.</w:t>
      </w:r>
      <w:r>
        <w:t xml:space="preserve"> Wer prüft, wann, und was geschieht, wenn das Kriterium nicht erfüllt ist? Feste Rundgänge sind einfacher als Kontrollen nach Gefühl.</w:t>
      </w:r>
    </w:p>
    <w:p>
      <w:pPr>
        <w:tabs>
          <w:tab w:pos="340" w:val="left"/>
        </w:tabs>
        <w:ind w:left="340" w:hanging="340"/>
      </w:pPr>
      <w:r>
        <w:rPr>
          <w:b/>
          <w:color w:val="8C5A2B"/>
        </w:rPr>
        <w:t>6.</w:t>
        <w:tab/>
      </w:r>
      <w:r>
        <w:rPr>
          <w:b/>
        </w:rPr>
        <w:t>Die Übergaben schriftlich vereinbaren.</w:t>
      </w:r>
      <w:r>
        <w:t xml:space="preserve"> Mit Agentur, Messebau und Ausstellern: Endzeiten, Rücknahme von Material, Zugang zum Container, Ansprechpartner am Abbauabend.</w:t>
      </w:r>
    </w:p>
    <w:p>
      <w:pPr>
        <w:tabs>
          <w:tab w:pos="340" w:val="left"/>
        </w:tabs>
        <w:ind w:left="340" w:hanging="340"/>
      </w:pPr>
      <w:r>
        <w:rPr>
          <w:b/>
          <w:color w:val="8C5A2B"/>
        </w:rPr>
        <w:t>7.</w:t>
        <w:tab/>
      </w:r>
      <w:r>
        <w:rPr>
          <w:b/>
        </w:rPr>
        <w:t>Nach der Veranstaltung die Kriterien prüfen.</w:t>
      </w:r>
      <w:r>
        <w:t xml:space="preserve"> Haben sie getragen, waren sie zu streng oder zu weich? Die Lehren gehen in das Formular der nächsten Veranstaltung und in die Auswertung (2.11).</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Den Ablauf in Vorgänge zerlegen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Die Vorgänge mit Wirkung auswählen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Für jeden Vorgang ein Kriterium schreiben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Das Kriterium in das Arbeitspapier schreiben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Prüfer und Zeitpunkt bestimmen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Die Übergaben schriftlich vereinbaren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Nach der Veranstaltung die Kriterien prüfen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Haben wir für die Vorgänge mit Wirkung schriftliche Kriterien?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Stehen diese Kriterien in den Papieren, nach denen tatsächlich gearbeitet wird?</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Kocht die Küche nach der bestätigten Zahl je Mahlzeit, auch am Abreisetag?</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Läuft die Haustechnik des Saals nach einem Stundenplan statt nach Belegungstagen?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Stehen Trennbehälter überall dort, wo gegessen oder abgebaut wird?</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Sind Abbau und Rücknahme von Material mit Agentur und Ausstellern vereinbart?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Ist für jedes Kriterium bestimmt, wer es wann prüft?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Wurden die Kriterien nach der letzten Veranstaltung überprüft?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Die Checkliste für den Plan halten.</w:t>
      </w:r>
      <w:r>
        <w:t xml:space="preserve"> Sie beschreibt Eigenschaften, keine Vorgänge.</w:t>
      </w:r>
    </w:p>
    <w:p>
      <w:pPr>
        <w:tabs>
          <w:tab w:pos="340" w:val="left"/>
        </w:tabs>
        <w:ind w:left="340" w:hanging="340"/>
      </w:pPr>
      <w:r>
        <w:rPr>
          <w:color w:val="8C5A2B"/>
        </w:rPr>
        <w:t>–</w:t>
        <w:tab/>
      </w:r>
      <w:r>
        <w:rPr>
          <w:b/>
        </w:rPr>
        <w:t>Nachhaltigkeit in ein eigenes Formular schreiben.</w:t>
      </w:r>
      <w:r>
        <w:t xml:space="preserve"> Gearbeitet wird nach dem Bankettformular, und dort fehlt sie dann.</w:t>
      </w:r>
    </w:p>
    <w:p>
      <w:pPr>
        <w:tabs>
          <w:tab w:pos="340" w:val="left"/>
        </w:tabs>
        <w:ind w:left="340" w:hanging="340"/>
      </w:pPr>
      <w:r>
        <w:rPr>
          <w:color w:val="8C5A2B"/>
        </w:rPr>
        <w:t>–</w:t>
        <w:tab/>
      </w:r>
      <w:r>
        <w:rPr>
          <w:b/>
        </w:rPr>
        <w:t>Nach der Vertragszahl kochen.</w:t>
      </w:r>
      <w:r>
        <w:t xml:space="preserve"> Am Abreisetag stimmt sie fast nie.</w:t>
      </w:r>
    </w:p>
    <w:p>
      <w:pPr>
        <w:tabs>
          <w:tab w:pos="340" w:val="left"/>
        </w:tabs>
        <w:ind w:left="340" w:hanging="340"/>
      </w:pPr>
      <w:r>
        <w:rPr>
          <w:color w:val="8C5A2B"/>
        </w:rPr>
        <w:t>–</w:t>
        <w:tab/>
      </w:r>
      <w:r>
        <w:rPr>
          <w:b/>
        </w:rPr>
        <w:t>Die Haustechnik nach Belegungstagen fahren.</w:t>
      </w:r>
      <w:r>
        <w:t xml:space="preserve"> Aufbautage und Nächte laufen dann mit, als säße der Kongress im Saal.</w:t>
      </w:r>
    </w:p>
    <w:p>
      <w:pPr>
        <w:tabs>
          <w:tab w:pos="340" w:val="left"/>
        </w:tabs>
        <w:ind w:left="340" w:hanging="340"/>
      </w:pPr>
      <w:r>
        <w:rPr>
          <w:color w:val="8C5A2B"/>
        </w:rPr>
        <w:t>–</w:t>
        <w:tab/>
      </w:r>
      <w:r>
        <w:rPr>
          <w:b/>
        </w:rPr>
        <w:t>Den Abbau anderen überlassen.</w:t>
      </w:r>
      <w:r>
        <w:t xml:space="preserve"> Was im Foyer bleibt, landet im Container des Hauses.</w:t>
      </w:r>
    </w:p>
    <w:p>
      <w:pPr>
        <w:tabs>
          <w:tab w:pos="340" w:val="left"/>
        </w:tabs>
        <w:ind w:left="340" w:hanging="340"/>
      </w:pPr>
      <w:r>
        <w:rPr>
          <w:color w:val="8C5A2B"/>
        </w:rPr>
        <w:t>–</w:t>
        <w:tab/>
      </w:r>
      <w:r>
        <w:rPr>
          <w:b/>
        </w:rPr>
        <w:t>Gegen Verschwendung planen und die Allergene vergessen.</w:t>
      </w:r>
      <w:r>
        <w:t xml:space="preserve"> Was nachgelegt oder weiterverarbeitet wird, braucht die richtige Information.</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Auftragswert des Kongresses</w:t>
            </w:r>
          </w:p>
        </w:tc>
        <w:tc>
          <w:tcPr>
            <w:tcW w:type="dxa" w:w="1474"/>
          </w:tcPr>
          <w:p>
            <w:pPr>
              <w:spacing w:after="0" w:before="0"/>
            </w:pPr>
            <w:r/>
            <w:r>
              <w:rPr>
                <w:b w:val="0"/>
                <w:i w:val="0"/>
                <w:color w:val="1A1A1A"/>
                <w:sz w:val="18"/>
              </w:rPr>
              <w:t>€ 310.000</w:t>
            </w:r>
          </w:p>
        </w:tc>
        <w:tc>
          <w:tcPr>
            <w:tcW w:type="dxa" w:w="3175"/>
          </w:tcPr>
          <w:p>
            <w:pPr>
              <w:spacing w:after="0" w:before="0"/>
            </w:pPr>
            <w:r/>
            <w:r>
              <w:rPr>
                <w:b w:val="0"/>
                <w:i w:val="0"/>
                <w:color w:val="1A1A1A"/>
                <w:sz w:val="18"/>
              </w:rPr>
              <w:t>Säle, Verpflegung, Abendessen, 340 Zimmernächte</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Mittag am Abreisetag: 160 Portionen zu viel zu € 9 Wareneinsatz</w:t>
            </w:r>
          </w:p>
        </w:tc>
        <w:tc>
          <w:tcPr>
            <w:tcW w:type="dxa" w:w="1474"/>
            <w:shd w:val="clear" w:color="auto" w:fill="F3EFE6"/>
          </w:tcPr>
          <w:p>
            <w:pPr>
              <w:spacing w:after="0" w:before="0"/>
            </w:pPr>
            <w:r/>
            <w:r>
              <w:rPr>
                <w:b w:val="0"/>
                <w:i w:val="0"/>
                <w:color w:val="1A1A1A"/>
                <w:sz w:val="18"/>
              </w:rPr>
              <w:t>€ 1.440</w:t>
            </w:r>
          </w:p>
        </w:tc>
        <w:tc>
          <w:tcPr>
            <w:tcW w:type="dxa" w:w="3175"/>
            <w:shd w:val="clear" w:color="auto" w:fill="F3EFE6"/>
          </w:tcPr>
          <w:p>
            <w:pPr>
              <w:spacing w:after="0" w:before="0"/>
            </w:pPr>
            <w:r/>
            <w:r>
              <w:rPr>
                <w:b w:val="0"/>
                <w:i w:val="0"/>
                <w:color w:val="1A1A1A"/>
                <w:sz w:val="18"/>
              </w:rPr>
              <w:t>450 aufgebaut, rund 290 gegessen</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Saallüftung ohne Absenkung: 4 Nächte × 10 Stunden × 22 kW</w:t>
            </w:r>
          </w:p>
        </w:tc>
        <w:tc>
          <w:tcPr>
            <w:tcW w:type="dxa" w:w="1474"/>
          </w:tcPr>
          <w:p>
            <w:pPr>
              <w:spacing w:after="0" w:before="0"/>
            </w:pPr>
            <w:r/>
            <w:r>
              <w:rPr>
                <w:b w:val="0"/>
                <w:i w:val="0"/>
                <w:color w:val="1A1A1A"/>
                <w:sz w:val="18"/>
              </w:rPr>
              <w:t>880 kWh</w:t>
            </w:r>
          </w:p>
        </w:tc>
        <w:tc>
          <w:tcPr>
            <w:tcW w:type="dxa" w:w="3175"/>
          </w:tcPr>
          <w:p>
            <w:pPr>
              <w:spacing w:after="0" w:before="0"/>
            </w:pPr>
            <w:r/>
            <w:r>
              <w:rPr>
                <w:b w:val="0"/>
                <w:i w:val="0"/>
                <w:color w:val="1A1A1A"/>
                <w:sz w:val="18"/>
              </w:rPr>
              <w:t>zu € 0,24 rund € 211</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Zusätzliche Leerung Restmüll nach dem Abbau</w:t>
            </w:r>
          </w:p>
        </w:tc>
        <w:tc>
          <w:tcPr>
            <w:tcW w:type="dxa" w:w="1474"/>
            <w:shd w:val="clear" w:color="auto" w:fill="F3EFE6"/>
          </w:tcPr>
          <w:p>
            <w:pPr>
              <w:spacing w:after="0" w:before="0"/>
            </w:pPr>
            <w:r/>
            <w:r>
              <w:rPr>
                <w:b w:val="0"/>
                <w:i w:val="0"/>
                <w:color w:val="1A1A1A"/>
                <w:sz w:val="18"/>
              </w:rPr>
              <w:t>€ 240</w:t>
            </w:r>
          </w:p>
        </w:tc>
        <w:tc>
          <w:tcPr>
            <w:tcW w:type="dxa" w:w="3175"/>
            <w:shd w:val="clear" w:color="auto" w:fill="F3EFE6"/>
          </w:tcPr>
          <w:p>
            <w:pPr>
              <w:spacing w:after="0" w:before="0"/>
            </w:pPr>
            <w:r/>
            <w:r>
              <w:rPr>
                <w:b w:val="0"/>
                <w:i w:val="0"/>
                <w:color w:val="1A1A1A"/>
                <w:sz w:val="18"/>
              </w:rPr>
              <w:t>Kartons, Teppichreste, Prospekte</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Kriterien ins Bankettformular schreiben</w:t>
            </w:r>
          </w:p>
        </w:tc>
        <w:tc>
          <w:tcPr>
            <w:tcW w:type="dxa" w:w="1474"/>
          </w:tcPr>
          <w:p>
            <w:pPr>
              <w:spacing w:after="0" w:before="0"/>
            </w:pPr>
            <w:r/>
            <w:r>
              <w:rPr>
                <w:b w:val="0"/>
                <w:i w:val="0"/>
                <w:color w:val="1A1A1A"/>
                <w:sz w:val="18"/>
              </w:rPr>
              <w:t>16 Stunden</w:t>
            </w:r>
          </w:p>
        </w:tc>
        <w:tc>
          <w:tcPr>
            <w:tcW w:type="dxa" w:w="3175"/>
          </w:tcPr>
          <w:p>
            <w:pPr>
              <w:spacing w:after="0" w:before="0"/>
            </w:pPr>
            <w:r/>
            <w:r>
              <w:rPr>
                <w:b w:val="0"/>
                <w:i w:val="0"/>
                <w:color w:val="1A1A1A"/>
                <w:sz w:val="18"/>
              </w:rPr>
              <w:t>einmalig, Bankettleitung, Küche, Haustechnik</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Rundgänge, Wiegen und Abbauabnahme</w:t>
            </w:r>
          </w:p>
        </w:tc>
        <w:tc>
          <w:tcPr>
            <w:tcW w:type="dxa" w:w="1474"/>
            <w:shd w:val="clear" w:color="auto" w:fill="F3EFE6"/>
          </w:tcPr>
          <w:p>
            <w:pPr>
              <w:spacing w:after="0" w:before="0"/>
            </w:pPr>
            <w:r/>
            <w:r>
              <w:rPr>
                <w:b w:val="0"/>
                <w:i w:val="0"/>
                <w:color w:val="1A1A1A"/>
                <w:sz w:val="18"/>
              </w:rPr>
              <w:t>6 Stunden</w:t>
            </w:r>
          </w:p>
        </w:tc>
        <w:tc>
          <w:tcPr>
            <w:tcW w:type="dxa" w:w="3175"/>
            <w:shd w:val="clear" w:color="auto" w:fill="F3EFE6"/>
          </w:tcPr>
          <w:p>
            <w:pPr>
              <w:spacing w:after="0" w:before="0"/>
            </w:pPr>
            <w:r/>
            <w:r>
              <w:rPr>
                <w:b w:val="0"/>
                <w:i w:val="0"/>
                <w:color w:val="1A1A1A"/>
                <w:sz w:val="18"/>
              </w:rPr>
              <w:t>je Kongress, verteilt auf drei Tage</w:t>
            </w:r>
          </w:p>
        </w:tc>
        <w:tc>
          <w:tcPr>
            <w:tcW w:type="dxa" w:w="1814"/>
            <w:shd w:val="clear" w:color="auto" w:fill="F3EFE6"/>
          </w:tcPr>
          <w:p>
            <w:pPr>
              <w:spacing w:after="0" w:before="0"/>
            </w:pPr>
            <w:r/>
            <w:r>
              <w:rPr>
                <w:b w:val="0"/>
                <w:i w:val="0"/>
                <w:color w:val="1A1A1A"/>
                <w:sz w:val="18"/>
              </w:rPr>
            </w:r>
          </w:p>
        </w:tc>
      </w:tr>
    </w:tbl>
    <w:p>
      <w:pPr>
        <w:spacing w:after="40"/>
      </w:pPr>
    </w:p>
    <w:p>
      <w:r>
        <w:rPr>
          <w:b w:val="0"/>
          <w:i w:val="0"/>
        </w:rPr>
        <w:t>Die Rechnung zeigt keine große Ersparnis, und sie soll es nicht. Knapp 1.900 Euro Verlust stehen gegen einen Auftrag von 310.000 Euro. Was auf dem Spiel stand, war die Frage aus Graz, ob das Haus sagen kann, wie es steuert, was es angekreuzt hat.</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Anhang oder Methode</w:t>
            </w:r>
          </w:p>
        </w:tc>
      </w:tr>
      <w:tr>
        <w:trPr>
          <w:cantSplit w:val="true"/>
        </w:trPr>
        <w:tc>
          <w:tcPr>
            <w:tcW w:type="dxa" w:w="3288"/>
          </w:tcPr>
          <w:p>
            <w:pPr>
              <w:spacing w:after="0" w:before="0"/>
            </w:pPr>
            <w:r/>
            <w:r>
              <w:rPr>
                <w:b w:val="0"/>
                <w:i w:val="0"/>
                <w:color w:val="1A1A1A"/>
                <w:sz w:val="18"/>
              </w:rPr>
              <w:t>Kriterien für die Prozesse festlegen (8.1)</w:t>
            </w:r>
          </w:p>
        </w:tc>
        <w:tc>
          <w:tcPr>
            <w:tcW w:type="dxa" w:w="3175"/>
          </w:tcPr>
          <w:p>
            <w:pPr>
              <w:spacing w:after="0" w:before="0"/>
            </w:pPr>
            <w:r/>
            <w:r>
              <w:rPr>
                <w:b w:val="0"/>
                <w:i w:val="0"/>
                <w:color w:val="1A1A1A"/>
                <w:sz w:val="18"/>
              </w:rPr>
              <w:t>Bankettformular mit fünf Vorgängen und ihren Kriterien</w:t>
            </w:r>
          </w:p>
        </w:tc>
        <w:tc>
          <w:tcPr>
            <w:tcW w:type="dxa" w:w="3175"/>
          </w:tcPr>
          <w:p>
            <w:pPr>
              <w:spacing w:after="0" w:before="0"/>
            </w:pPr>
            <w:r/>
            <w:r>
              <w:rPr>
                <w:b w:val="0"/>
                <w:i w:val="0"/>
                <w:color w:val="1A1A1A"/>
                <w:sz w:val="18"/>
              </w:rPr>
              <w:t>Methode: ein Kriterium je Zeile, mit Prüfer und Uhrzeit</w:t>
            </w:r>
          </w:p>
        </w:tc>
      </w:tr>
      <w:tr>
        <w:trPr>
          <w:cantSplit w:val="true"/>
        </w:trPr>
        <w:tc>
          <w:tcPr>
            <w:tcW w:type="dxa" w:w="3288"/>
            <w:shd w:val="clear" w:color="auto" w:fill="F3EFE6"/>
          </w:tcPr>
          <w:p>
            <w:pPr>
              <w:spacing w:after="0" w:before="0"/>
            </w:pPr>
            <w:r/>
            <w:r>
              <w:rPr>
                <w:b w:val="0"/>
                <w:i w:val="0"/>
                <w:color w:val="1A1A1A"/>
                <w:sz w:val="18"/>
              </w:rPr>
              <w:t>Prozesse nach den Kriterien steuern (8.1)</w:t>
            </w:r>
          </w:p>
        </w:tc>
        <w:tc>
          <w:tcPr>
            <w:tcW w:type="dxa" w:w="3175"/>
            <w:shd w:val="clear" w:color="auto" w:fill="F3EFE6"/>
          </w:tcPr>
          <w:p>
            <w:pPr>
              <w:spacing w:after="0" w:before="0"/>
            </w:pPr>
            <w:r/>
            <w:r>
              <w:rPr>
                <w:b w:val="0"/>
                <w:i w:val="0"/>
                <w:color w:val="1A1A1A"/>
                <w:sz w:val="18"/>
              </w:rPr>
              <w:t>abgezeichnete Rundgänge, Wiegeliste, Abbauabnahme</w:t>
            </w:r>
          </w:p>
        </w:tc>
        <w:tc>
          <w:tcPr>
            <w:tcW w:type="dxa" w:w="3175"/>
            <w:shd w:val="clear" w:color="auto" w:fill="F3EFE6"/>
          </w:tcPr>
          <w:p>
            <w:pPr>
              <w:spacing w:after="0" w:before="0"/>
            </w:pPr>
            <w:r/>
            <w:r>
              <w:rPr>
                <w:b w:val="0"/>
                <w:i w:val="0"/>
                <w:color w:val="1A1A1A"/>
                <w:sz w:val="18"/>
              </w:rPr>
              <w:t>Methode: feste Rundgänge um 7 und 19 Uhr</w:t>
            </w:r>
          </w:p>
        </w:tc>
      </w:tr>
      <w:tr>
        <w:trPr>
          <w:cantSplit w:val="true"/>
        </w:trPr>
        <w:tc>
          <w:tcPr>
            <w:tcW w:type="dxa" w:w="3288"/>
          </w:tcPr>
          <w:p>
            <w:pPr>
              <w:spacing w:after="0" w:before="0"/>
            </w:pPr>
            <w:r/>
            <w:r>
              <w:rPr>
                <w:b w:val="0"/>
                <w:i w:val="0"/>
                <w:color w:val="1A1A1A"/>
                <w:sz w:val="18"/>
              </w:rPr>
              <w:t>Dokumentierte Information, soweit nötig (8.1)</w:t>
            </w:r>
          </w:p>
        </w:tc>
        <w:tc>
          <w:tcPr>
            <w:tcW w:type="dxa" w:w="3175"/>
          </w:tcPr>
          <w:p>
            <w:pPr>
              <w:spacing w:after="0" w:before="0"/>
            </w:pPr>
            <w:r/>
            <w:r>
              <w:rPr>
                <w:b w:val="0"/>
                <w:i w:val="0"/>
                <w:color w:val="1A1A1A"/>
                <w:sz w:val="18"/>
              </w:rPr>
              <w:t>Bankettformular, Wiegeliste, Belegungsplan der Lüftung</w:t>
            </w:r>
          </w:p>
        </w:tc>
        <w:tc>
          <w:tcPr>
            <w:tcW w:type="dxa" w:w="3175"/>
          </w:tcPr>
          <w:p>
            <w:pPr>
              <w:spacing w:after="0" w:before="0"/>
            </w:pPr>
            <w:r/>
            <w:r>
              <w:rPr>
                <w:b w:val="0"/>
                <w:i w:val="0"/>
                <w:color w:val="1A1A1A"/>
                <w:sz w:val="18"/>
              </w:rPr>
              <w:t>A.17: nur dokumentieren, wo das Fehlen die Umsetzung gefährdet</w:t>
            </w:r>
          </w:p>
        </w:tc>
      </w:tr>
      <w:tr>
        <w:trPr>
          <w:cantSplit w:val="true"/>
        </w:trPr>
        <w:tc>
          <w:tcPr>
            <w:tcW w:type="dxa" w:w="3288"/>
            <w:shd w:val="clear" w:color="auto" w:fill="F3EFE6"/>
          </w:tcPr>
          <w:p>
            <w:pPr>
              <w:spacing w:after="0" w:before="0"/>
            </w:pPr>
            <w:r/>
            <w:r>
              <w:rPr>
                <w:b w:val="0"/>
                <w:i w:val="0"/>
                <w:color w:val="1A1A1A"/>
                <w:sz w:val="18"/>
              </w:rPr>
              <w:t>Extern bereitgestellte Prozesse steuern (8.1)</w:t>
            </w:r>
          </w:p>
        </w:tc>
        <w:tc>
          <w:tcPr>
            <w:tcW w:type="dxa" w:w="3175"/>
            <w:shd w:val="clear" w:color="auto" w:fill="F3EFE6"/>
          </w:tcPr>
          <w:p>
            <w:pPr>
              <w:spacing w:after="0" w:before="0"/>
            </w:pPr>
            <w:r/>
            <w:r>
              <w:rPr>
                <w:b w:val="0"/>
                <w:i w:val="0"/>
                <w:color w:val="1A1A1A"/>
                <w:sz w:val="18"/>
              </w:rPr>
              <w:t>Übergabeblatt mit Agentur und Messebaufirma</w:t>
            </w:r>
          </w:p>
        </w:tc>
        <w:tc>
          <w:tcPr>
            <w:tcW w:type="dxa" w:w="3175"/>
            <w:shd w:val="clear" w:color="auto" w:fill="F3EFE6"/>
          </w:tcPr>
          <w:p>
            <w:pPr>
              <w:spacing w:after="0" w:before="0"/>
            </w:pPr>
            <w:r/>
            <w:r>
              <w:rPr>
                <w:b w:val="0"/>
                <w:i w:val="0"/>
                <w:color w:val="1A1A1A"/>
                <w:sz w:val="18"/>
              </w:rPr>
              <w:t>Anhang B zur Lieferkette (2.8)</w:t>
            </w:r>
          </w:p>
        </w:tc>
      </w:tr>
      <w:tr>
        <w:trPr>
          <w:cantSplit w:val="true"/>
        </w:trPr>
        <w:tc>
          <w:tcPr>
            <w:tcW w:type="dxa" w:w="3288"/>
          </w:tcPr>
          <w:p>
            <w:pPr>
              <w:spacing w:after="0" w:before="0"/>
            </w:pPr>
            <w:r/>
            <w:r>
              <w:rPr>
                <w:b w:val="0"/>
                <w:i w:val="0"/>
                <w:color w:val="1A1A1A"/>
                <w:sz w:val="18"/>
              </w:rPr>
              <w:t>Maßnahmen aus Risiken und Chancen in Prozesse einbinden (6.1.1 b)</w:t>
            </w:r>
          </w:p>
        </w:tc>
        <w:tc>
          <w:tcPr>
            <w:tcW w:type="dxa" w:w="3175"/>
          </w:tcPr>
          <w:p>
            <w:pPr>
              <w:spacing w:after="0" w:before="0"/>
            </w:pPr>
            <w:r/>
            <w:r>
              <w:rPr>
                <w:b w:val="0"/>
                <w:i w:val="0"/>
                <w:color w:val="1A1A1A"/>
                <w:sz w:val="18"/>
              </w:rPr>
              <w:t>Kriterium zur Lüftung aus der Risikoliste</w:t>
            </w:r>
          </w:p>
        </w:tc>
        <w:tc>
          <w:tcPr>
            <w:tcW w:type="dxa" w:w="3175"/>
          </w:tcPr>
          <w:p>
            <w:pPr>
              <w:spacing w:after="0" w:before="0"/>
            </w:pPr>
            <w:r/>
            <w:r>
              <w:rPr>
                <w:b w:val="0"/>
                <w:i w:val="0"/>
                <w:color w:val="1A1A1A"/>
                <w:sz w:val="18"/>
              </w:rPr>
              <w:t>A.17: Systeme wiederverwenden</w:t>
            </w:r>
          </w:p>
        </w:tc>
      </w:tr>
      <w:tr>
        <w:trPr>
          <w:cantSplit w:val="true"/>
        </w:trPr>
        <w:tc>
          <w:tcPr>
            <w:tcW w:type="dxa" w:w="3288"/>
            <w:shd w:val="clear" w:color="auto" w:fill="F3EFE6"/>
          </w:tcPr>
          <w:p>
            <w:pPr>
              <w:spacing w:after="0" w:before="0"/>
            </w:pPr>
            <w:r/>
            <w:r>
              <w:rPr>
                <w:b w:val="0"/>
                <w:i w:val="0"/>
                <w:color w:val="1A1A1A"/>
                <w:sz w:val="18"/>
              </w:rPr>
              <w:t>Operative Pläne im Rahmen der Leitprinzipien (4.5)</w:t>
            </w:r>
          </w:p>
        </w:tc>
        <w:tc>
          <w:tcPr>
            <w:tcW w:type="dxa" w:w="3175"/>
            <w:shd w:val="clear" w:color="auto" w:fill="F3EFE6"/>
          </w:tcPr>
          <w:p>
            <w:pPr>
              <w:spacing w:after="0" w:before="0"/>
            </w:pPr>
            <w:r/>
            <w:r>
              <w:rPr>
                <w:b w:val="0"/>
                <w:i w:val="0"/>
                <w:color w:val="1A1A1A"/>
                <w:sz w:val="18"/>
              </w:rPr>
              <w:t>Bezug des Bankettformulars auf Leitbild und Politik</w:t>
            </w:r>
          </w:p>
        </w:tc>
        <w:tc>
          <w:tcPr>
            <w:tcW w:type="dxa" w:w="3175"/>
            <w:shd w:val="clear" w:color="auto" w:fill="F3EFE6"/>
          </w:tcPr>
          <w:p>
            <w:pPr>
              <w:spacing w:after="0" w:before="0"/>
            </w:pPr>
            <w:r/>
            <w:r>
              <w:rPr>
                <w:b w:val="0"/>
                <w:i w:val="0"/>
                <w:color w:val="1A1A1A"/>
                <w:sz w:val="18"/>
              </w:rPr>
              <w:t>Methode: ein Satz aus dem Leitbild auf der ersten Seite</w:t>
            </w:r>
          </w:p>
        </w:tc>
      </w:tr>
    </w:tbl>
    <w:p>
      <w:pPr>
        <w:spacing w:after="40"/>
      </w:pPr>
    </w:p>
    <w:p>
      <w:pPr>
        <w:pStyle w:val="Heading2"/>
      </w:pPr>
      <w:r>
        <w:t>DACH-Anker: Recht am Ablauf eines Kongresses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Veranstaltungsrecht</w:t>
            </w:r>
          </w:p>
        </w:tc>
        <w:tc>
          <w:tcPr>
            <w:tcW w:type="dxa" w:w="2721"/>
          </w:tcPr>
          <w:p>
            <w:pPr>
              <w:spacing w:after="0" w:before="0"/>
            </w:pPr>
            <w:r/>
            <w:r>
              <w:rPr>
                <w:b w:val="0"/>
                <w:i w:val="0"/>
                <w:color w:val="1A1A1A"/>
                <w:sz w:val="17"/>
              </w:rPr>
              <w:t>Landesrecht der Länder</w:t>
            </w:r>
          </w:p>
        </w:tc>
        <w:tc>
          <w:tcPr>
            <w:tcW w:type="dxa" w:w="2721"/>
          </w:tcPr>
          <w:p>
            <w:pPr>
              <w:spacing w:after="0" w:before="0"/>
            </w:pPr>
            <w:r/>
            <w:r>
              <w:rPr>
                <w:b w:val="0"/>
                <w:i w:val="0"/>
                <w:color w:val="1A1A1A"/>
                <w:sz w:val="17"/>
              </w:rPr>
              <w:t>Veranstaltungsgesetze der Bundesländer; in Kärnten das Kärntner Veranstaltungsgesetz 2010</w:t>
            </w:r>
          </w:p>
        </w:tc>
        <w:tc>
          <w:tcPr>
            <w:tcW w:type="dxa" w:w="2721"/>
          </w:tcPr>
          <w:p>
            <w:pPr>
              <w:spacing w:after="0" w:before="0"/>
            </w:pPr>
            <w:r/>
            <w:r>
              <w:rPr>
                <w:b w:val="0"/>
                <w:i w:val="0"/>
                <w:color w:val="1A1A1A"/>
                <w:sz w:val="17"/>
              </w:rPr>
              <w:t>kantonales Recht</w:t>
            </w:r>
          </w:p>
        </w:tc>
      </w:tr>
      <w:tr>
        <w:trPr>
          <w:cantSplit w:val="true"/>
        </w:trPr>
        <w:tc>
          <w:tcPr>
            <w:tcW w:type="dxa" w:w="1474"/>
            <w:shd w:val="clear" w:color="auto" w:fill="F3EFE6"/>
          </w:tcPr>
          <w:p>
            <w:pPr>
              <w:spacing w:after="0" w:before="0"/>
            </w:pPr>
            <w:r/>
            <w:r>
              <w:rPr>
                <w:b w:val="0"/>
                <w:i w:val="0"/>
                <w:color w:val="1A1A1A"/>
                <w:sz w:val="17"/>
              </w:rPr>
              <w:t>Getrennte Sammlung im Betrieb</w:t>
            </w:r>
          </w:p>
        </w:tc>
        <w:tc>
          <w:tcPr>
            <w:tcW w:type="dxa" w:w="2721"/>
            <w:shd w:val="clear" w:color="auto" w:fill="F3EFE6"/>
          </w:tcPr>
          <w:p>
            <w:pPr>
              <w:spacing w:after="0" w:before="0"/>
            </w:pPr>
            <w:r/>
            <w:r>
              <w:rPr>
                <w:b w:val="0"/>
                <w:i w:val="0"/>
                <w:color w:val="1A1A1A"/>
                <w:sz w:val="17"/>
              </w:rPr>
              <w:t>getrennt zu sammeln: Papier, Pappe und Karton ohne Hygienepapier, Glas, Kunststoffe, Metalle, Holz, Textilien, Bioabfälle, getrennt nach verpackten und unverpackten Bioabfällen, sowie weitere Fraktionen (Nr. 8); Ausnahmen nur bei technischer Unmöglichkeit oder wirtschaftlicher Unzumutbarkeit, mit Dokumentation; Nachweis durch Lagepläne, Fotos, Liefer- oder Wiegebelege (§ 3 GewAbfV)</w:t>
            </w:r>
          </w:p>
        </w:tc>
        <w:tc>
          <w:tcPr>
            <w:tcW w:type="dxa" w:w="2721"/>
            <w:shd w:val="clear" w:color="auto" w:fill="F3EFE6"/>
          </w:tcPr>
          <w:p>
            <w:pPr>
              <w:spacing w:after="0" w:before="0"/>
            </w:pPr>
            <w:r/>
            <w:r>
              <w:rPr>
                <w:b w:val="0"/>
                <w:i w:val="0"/>
                <w:color w:val="1A1A1A"/>
                <w:sz w:val="17"/>
              </w:rPr>
              <w:t>Verordnung über die getrennte Sammlung biogener Abfälle (BGBl. Nr. 68/1992); dazu Vorgaben von Gemeinde und Abfallverband</w:t>
            </w:r>
          </w:p>
        </w:tc>
        <w:tc>
          <w:tcPr>
            <w:tcW w:type="dxa" w:w="2721"/>
            <w:shd w:val="clear" w:color="auto" w:fill="F3EFE6"/>
          </w:tcPr>
          <w:p>
            <w:pPr>
              <w:spacing w:after="0" w:before="0"/>
            </w:pPr>
            <w:r/>
            <w:r>
              <w:rPr>
                <w:b w:val="0"/>
                <w:i w:val="0"/>
                <w:color w:val="1A1A1A"/>
                <w:sz w:val="17"/>
              </w:rPr>
              <w:t>kantonales und kommunales Abfallrecht</w:t>
            </w:r>
          </w:p>
        </w:tc>
      </w:tr>
      <w:tr>
        <w:trPr>
          <w:cantSplit w:val="true"/>
        </w:trPr>
        <w:tc>
          <w:tcPr>
            <w:tcW w:type="dxa" w:w="1474"/>
          </w:tcPr>
          <w:p>
            <w:pPr>
              <w:spacing w:after="0" w:before="0"/>
            </w:pPr>
            <w:r/>
            <w:r>
              <w:rPr>
                <w:b w:val="0"/>
                <w:i w:val="0"/>
                <w:color w:val="1A1A1A"/>
                <w:sz w:val="17"/>
              </w:rPr>
              <w:t>Allergeninformation am Buffet</w:t>
            </w:r>
          </w:p>
        </w:tc>
        <w:tc>
          <w:tcPr>
            <w:tcW w:type="dxa" w:w="2721"/>
          </w:tcPr>
          <w:p>
            <w:pPr>
              <w:spacing w:after="0" w:before="0"/>
            </w:pPr>
            <w:r/>
            <w:r>
              <w:rPr>
                <w:b w:val="0"/>
                <w:i w:val="0"/>
                <w:color w:val="1A1A1A"/>
                <w:sz w:val="17"/>
              </w:rPr>
              <w:t>schriftlich oder mündlich mit leicht zugänglicher schriftlicher Aufzeichnung (§ 4 LMIDV)</w:t>
            </w:r>
          </w:p>
        </w:tc>
        <w:tc>
          <w:tcPr>
            <w:tcW w:type="dxa" w:w="2721"/>
          </w:tcPr>
          <w:p>
            <w:pPr>
              <w:spacing w:after="0" w:before="0"/>
            </w:pPr>
            <w:r/>
            <w:r>
              <w:rPr>
                <w:b w:val="0"/>
                <w:i w:val="0"/>
                <w:color w:val="1A1A1A"/>
                <w:sz w:val="17"/>
              </w:rPr>
              <w:t>schriftliche Dokumentation (§ 4 Allergeninformationsverordnung, BGBl. II Nr. 175/2014); mündlich nur mit geschulter Person</w:t>
            </w:r>
          </w:p>
        </w:tc>
        <w:tc>
          <w:tcPr>
            <w:tcW w:type="dxa" w:w="2721"/>
          </w:tcPr>
          <w:p>
            <w:pPr>
              <w:spacing w:after="0" w:before="0"/>
            </w:pPr>
            <w:r/>
            <w:r>
              <w:rPr>
                <w:b w:val="0"/>
                <w:i w:val="0"/>
                <w:color w:val="1A1A1A"/>
                <w:sz w:val="17"/>
              </w:rPr>
              <w:t>Art. 39 LGV, Allergene nach Anhang 6 LIV; mündlich mit schriftlichem Hinweis</w:t>
            </w:r>
          </w:p>
        </w:tc>
      </w:tr>
      <w:tr>
        <w:trPr>
          <w:cantSplit w:val="true"/>
        </w:trPr>
        <w:tc>
          <w:tcPr>
            <w:tcW w:type="dxa" w:w="1474"/>
            <w:shd w:val="clear" w:color="auto" w:fill="F3EFE6"/>
          </w:tcPr>
          <w:p>
            <w:pPr>
              <w:spacing w:after="0" w:before="0"/>
            </w:pPr>
            <w:r/>
            <w:r>
              <w:rPr>
                <w:b w:val="0"/>
                <w:i w:val="0"/>
                <w:color w:val="1A1A1A"/>
                <w:sz w:val="17"/>
              </w:rPr>
              <w:t>Arbeitszeit beim nächtlichen Abbau</w:t>
            </w:r>
          </w:p>
        </w:tc>
        <w:tc>
          <w:tcPr>
            <w:tcW w:type="dxa" w:w="2721"/>
            <w:shd w:val="clear" w:color="auto" w:fill="F3EFE6"/>
          </w:tcPr>
          <w:p>
            <w:pPr>
              <w:spacing w:after="0" w:before="0"/>
            </w:pPr>
            <w:r/>
            <w:r>
              <w:rPr>
                <w:b w:val="0"/>
                <w:i w:val="0"/>
                <w:color w:val="1A1A1A"/>
                <w:sz w:val="17"/>
              </w:rPr>
              <w:t>Ruhezeiten nach dem Arbeitszeitgesetz (1.2)</w:t>
            </w:r>
          </w:p>
        </w:tc>
        <w:tc>
          <w:tcPr>
            <w:tcW w:type="dxa" w:w="2721"/>
            <w:shd w:val="clear" w:color="auto" w:fill="F3EFE6"/>
          </w:tcPr>
          <w:p>
            <w:pPr>
              <w:spacing w:after="0" w:before="0"/>
            </w:pPr>
            <w:r/>
            <w:r>
              <w:rPr>
                <w:b w:val="0"/>
                <w:i w:val="0"/>
                <w:color w:val="1A1A1A"/>
                <w:sz w:val="17"/>
              </w:rPr>
              <w:t>Ruhezeiten nach dem Arbeitszeitgesetz (1.2)</w:t>
            </w:r>
          </w:p>
        </w:tc>
        <w:tc>
          <w:tcPr>
            <w:tcW w:type="dxa" w:w="2721"/>
            <w:shd w:val="clear" w:color="auto" w:fill="F3EFE6"/>
          </w:tcPr>
          <w:p>
            <w:pPr>
              <w:spacing w:after="0" w:before="0"/>
            </w:pPr>
            <w:r/>
            <w:r>
              <w:rPr>
                <w:b w:val="0"/>
                <w:i w:val="0"/>
                <w:color w:val="1A1A1A"/>
                <w:sz w:val="17"/>
              </w:rPr>
              <w:t>Ruhezeiten nach dem Arbeitsgesetz (1.2)</w:t>
            </w:r>
          </w:p>
        </w:tc>
      </w:tr>
    </w:tbl>
    <w:p>
      <w:pPr>
        <w:spacing w:after="40"/>
      </w:pPr>
    </w:p>
    <w:p>
      <w:r>
        <w:rPr>
          <w:b w:val="0"/>
          <w:i w:val="0"/>
          <w:color w:val="5A5A5A"/>
          <w:sz w:val="17"/>
        </w:rPr>
        <w:t>Stand der Tabelle: 22. Oktober 2026, wie im Buch. Die laufende Fassung mit Änderungen nach diesem Stichtag steht in Band8a_Rechtsanker_DACH_laufend.xlsx. Die Tabelle ersetzt keine Prüfung der geltenden Fassung und keine Rechtsberatung im Einzelfall.</w:t>
      </w:r>
    </w:p>
    <w:p>
      <w:r>
        <w:rPr>
          <w:b w:val="0"/>
          <w:i w:val="0"/>
          <w:color w:val="5A5A5A"/>
          <w:sz w:val="17"/>
        </w:rPr>
        <w:t>Quelle: Francesco Dore, Das Steuer und die Lupe, Band 8a «Das Fest und seine Spuren», Abschnitt 2.7.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2.7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8a · ISO 20121 — Das Fest und seine Spuren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2.7 — Kriterien am Ablauf einer Veranstaltung festlegen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