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2.8</w:t>
      </w:r>
    </w:p>
    <w:p>
      <w:pPr>
        <w:pStyle w:val="Heading1"/>
      </w:pPr>
      <w:r>
        <w:t>Lieferanten nach Nachhaltigkeitskriterien auswählen und führen, ohne kleine Betriebe zu überfordern</w:t>
      </w:r>
    </w:p>
    <w:p>
      <w:pPr>
        <w:spacing w:after="0"/>
      </w:pPr>
      <w:r>
        <w:rPr>
          <w:b w:val="0"/>
          <w:i/>
          <w:color w:val="5A5A5A"/>
        </w:rPr>
        <w:t>Abschnitt 2.8 · Die Lieferkette steuern</w:t>
      </w:r>
    </w:p>
    <w:p>
      <w:pPr>
        <w:spacing w:after="160"/>
      </w:pPr>
      <w:r>
        <w:rPr>
          <w:b w:val="0"/>
          <w:i w:val="0"/>
          <w:color w:val="5A5A5A"/>
          <w:sz w:val="18"/>
        </w:rPr>
        <w:t>Modellfall im Buch: Münster</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Ihr Haus seine Lieferanten nach Nachhaltigkeit auswählt: Messen Sie, was diese Betriebe tun, oder wie gut sie Fragebögen ausfüllen? Und wer prüft die Werbegeschenke, die ein Sponsor Ihres Kunden in Ihre Zimmer legen lässt?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Kriterien und Nachweise je Kategorie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Kategorie</w:t>
            </w:r>
          </w:p>
        </w:tc>
        <w:tc>
          <w:tcPr>
            <w:tcW w:type="dxa" w:w="3213"/>
            <w:shd w:val="clear" w:color="auto" w:fill="8C5A2B"/>
          </w:tcPr>
          <w:p>
            <w:pPr>
              <w:spacing w:after="0" w:before="0"/>
            </w:pPr>
            <w:r/>
            <w:r>
              <w:rPr>
                <w:b/>
                <w:i w:val="0"/>
                <w:color w:val="FFFFFF"/>
                <w:sz w:val="18"/>
              </w:rPr>
              <w:t>Kriterien</w:t>
            </w:r>
          </w:p>
        </w:tc>
        <w:tc>
          <w:tcPr>
            <w:tcW w:type="dxa" w:w="3213"/>
            <w:shd w:val="clear" w:color="auto" w:fill="8C5A2B"/>
          </w:tcPr>
          <w:p>
            <w:pPr>
              <w:spacing w:after="0" w:before="0"/>
            </w:pPr>
            <w:r/>
            <w:r>
              <w:rPr>
                <w:b/>
                <w:i w:val="0"/>
                <w:color w:val="FFFFFF"/>
                <w:sz w:val="18"/>
              </w:rPr>
              <w:t>Nachweis</w:t>
            </w:r>
          </w:p>
        </w:tc>
      </w:tr>
      <w:tr>
        <w:trPr>
          <w:cantSplit w:val="true"/>
        </w:trPr>
        <w:tc>
          <w:tcPr>
            <w:tcW w:type="dxa" w:w="3213"/>
          </w:tcPr>
          <w:p>
            <w:pPr>
              <w:spacing w:after="0" w:before="0"/>
            </w:pPr>
            <w:r/>
            <w:r>
              <w:rPr>
                <w:b w:val="0"/>
                <w:i w:val="0"/>
                <w:color w:val="1A1A1A"/>
                <w:sz w:val="18"/>
              </w:rPr>
              <w:t>Floristik</w:t>
            </w:r>
          </w:p>
        </w:tc>
        <w:tc>
          <w:tcPr>
            <w:tcW w:type="dxa" w:w="3213"/>
          </w:tcPr>
          <w:p>
            <w:pPr>
              <w:spacing w:after="0" w:before="0"/>
            </w:pPr>
            <w:r/>
            <w:r>
              <w:rPr>
                <w:b w:val="0"/>
                <w:i w:val="0"/>
                <w:color w:val="1A1A1A"/>
                <w:sz w:val="18"/>
              </w:rPr>
              <w:t>Saisonware, Herkunft angegeben; ohne Steckschaum; Rücknahme von Gefäßen und Resten</w:t>
            </w:r>
          </w:p>
        </w:tc>
        <w:tc>
          <w:tcPr>
            <w:tcW w:type="dxa" w:w="3213"/>
          </w:tcPr>
          <w:p>
            <w:pPr>
              <w:spacing w:after="0" w:before="0"/>
            </w:pPr>
            <w:r/>
            <w:r>
              <w:rPr>
                <w:b w:val="0"/>
                <w:i w:val="0"/>
                <w:color w:val="1A1A1A"/>
                <w:sz w:val="18"/>
              </w:rPr>
              <w:t>Lieferschein mit Herkunft; Besuch in der Werkstatt</w:t>
            </w:r>
          </w:p>
        </w:tc>
      </w:tr>
      <w:tr>
        <w:trPr>
          <w:cantSplit w:val="true"/>
        </w:trPr>
        <w:tc>
          <w:tcPr>
            <w:tcW w:type="dxa" w:w="3213"/>
            <w:shd w:val="clear" w:color="auto" w:fill="F3EFE6"/>
          </w:tcPr>
          <w:p>
            <w:pPr>
              <w:spacing w:after="0" w:before="0"/>
            </w:pPr>
            <w:r/>
            <w:r>
              <w:rPr>
                <w:b w:val="0"/>
                <w:i w:val="0"/>
                <w:color w:val="1A1A1A"/>
                <w:sz w:val="18"/>
              </w:rPr>
              <w:t>Veranstaltungstechnik</w:t>
            </w:r>
          </w:p>
        </w:tc>
        <w:tc>
          <w:tcPr>
            <w:tcW w:type="dxa" w:w="3213"/>
            <w:shd w:val="clear" w:color="auto" w:fill="F3EFE6"/>
          </w:tcPr>
          <w:p>
            <w:pPr>
              <w:spacing w:after="0" w:before="0"/>
            </w:pPr>
            <w:r/>
            <w:r>
              <w:rPr>
                <w:b w:val="0"/>
                <w:i w:val="0"/>
                <w:color w:val="1A1A1A"/>
                <w:sz w:val="18"/>
              </w:rPr>
              <w:t>gebündelte Anfahrt; Mietmaterial statt Einweg; Rücknahme von Verbrauchsmaterial</w:t>
            </w:r>
          </w:p>
        </w:tc>
        <w:tc>
          <w:tcPr>
            <w:tcW w:type="dxa" w:w="3213"/>
            <w:shd w:val="clear" w:color="auto" w:fill="F3EFE6"/>
          </w:tcPr>
          <w:p>
            <w:pPr>
              <w:spacing w:after="0" w:before="0"/>
            </w:pPr>
            <w:r/>
            <w:r>
              <w:rPr>
                <w:b w:val="0"/>
                <w:i w:val="0"/>
                <w:color w:val="1A1A1A"/>
                <w:sz w:val="18"/>
              </w:rPr>
              <w:t>Tourenplan; Abbauabnahme durch die Bankettleitung</w:t>
            </w:r>
          </w:p>
        </w:tc>
      </w:tr>
      <w:tr>
        <w:trPr>
          <w:cantSplit w:val="true"/>
        </w:trPr>
        <w:tc>
          <w:tcPr>
            <w:tcW w:type="dxa" w:w="3213"/>
          </w:tcPr>
          <w:p>
            <w:pPr>
              <w:spacing w:after="0" w:before="0"/>
            </w:pPr>
            <w:r/>
            <w:r>
              <w:rPr>
                <w:b w:val="0"/>
                <w:i w:val="0"/>
                <w:color w:val="1A1A1A"/>
                <w:sz w:val="18"/>
              </w:rPr>
              <w:t>Personalagentur</w:t>
            </w:r>
          </w:p>
        </w:tc>
        <w:tc>
          <w:tcPr>
            <w:tcW w:type="dxa" w:w="3213"/>
          </w:tcPr>
          <w:p>
            <w:pPr>
              <w:spacing w:after="0" w:before="0"/>
            </w:pPr>
            <w:r/>
            <w:r>
              <w:rPr>
                <w:b w:val="0"/>
                <w:i w:val="0"/>
                <w:color w:val="1A1A1A"/>
                <w:sz w:val="18"/>
              </w:rPr>
              <w:t>Lohn nach Tarif; Abrechnung nach Dienstplan des Hauses; Einweisung vor dem Einsatz</w:t>
            </w:r>
          </w:p>
        </w:tc>
        <w:tc>
          <w:tcPr>
            <w:tcW w:type="dxa" w:w="3213"/>
          </w:tcPr>
          <w:p>
            <w:pPr>
              <w:spacing w:after="0" w:before="0"/>
            </w:pPr>
            <w:r/>
            <w:r>
              <w:rPr>
                <w:b w:val="0"/>
                <w:i w:val="0"/>
                <w:color w:val="1A1A1A"/>
                <w:sz w:val="18"/>
              </w:rPr>
              <w:t>Abgleich Stundenzettel und Dienstplan, Stichproben</w:t>
            </w:r>
          </w:p>
        </w:tc>
      </w:tr>
      <w:tr>
        <w:trPr>
          <w:cantSplit w:val="true"/>
        </w:trPr>
        <w:tc>
          <w:tcPr>
            <w:tcW w:type="dxa" w:w="3213"/>
            <w:shd w:val="clear" w:color="auto" w:fill="F3EFE6"/>
          </w:tcPr>
          <w:p>
            <w:pPr>
              <w:spacing w:after="0" w:before="0"/>
            </w:pPr>
            <w:r/>
            <w:r>
              <w:rPr>
                <w:b w:val="0"/>
                <w:i w:val="0"/>
                <w:color w:val="1A1A1A"/>
                <w:sz w:val="18"/>
              </w:rPr>
              <w:t>Wäscherei</w:t>
            </w:r>
          </w:p>
        </w:tc>
        <w:tc>
          <w:tcPr>
            <w:tcW w:type="dxa" w:w="3213"/>
            <w:shd w:val="clear" w:color="auto" w:fill="F3EFE6"/>
          </w:tcPr>
          <w:p>
            <w:pPr>
              <w:spacing w:after="0" w:before="0"/>
            </w:pPr>
            <w:r/>
            <w:r>
              <w:rPr>
                <w:b w:val="0"/>
                <w:i w:val="0"/>
                <w:color w:val="1A1A1A"/>
                <w:sz w:val="18"/>
              </w:rPr>
              <w:t>gebündelte Touren; Reparatur vor Ersatz; Angaben zum Waschverfahren</w:t>
            </w:r>
          </w:p>
        </w:tc>
        <w:tc>
          <w:tcPr>
            <w:tcW w:type="dxa" w:w="3213"/>
            <w:shd w:val="clear" w:color="auto" w:fill="F3EFE6"/>
          </w:tcPr>
          <w:p>
            <w:pPr>
              <w:spacing w:after="0" w:before="0"/>
            </w:pPr>
            <w:r/>
            <w:r>
              <w:rPr>
                <w:b w:val="0"/>
                <w:i w:val="0"/>
                <w:color w:val="1A1A1A"/>
                <w:sz w:val="18"/>
              </w:rPr>
              <w:t>Tourenliste; Zertifikat, wo vorhanden</w:t>
            </w:r>
          </w:p>
        </w:tc>
      </w:tr>
      <w:tr>
        <w:trPr>
          <w:cantSplit w:val="true"/>
        </w:trPr>
        <w:tc>
          <w:tcPr>
            <w:tcW w:type="dxa" w:w="3213"/>
          </w:tcPr>
          <w:p>
            <w:pPr>
              <w:spacing w:after="0" w:before="0"/>
            </w:pPr>
            <w:r/>
            <w:r>
              <w:rPr>
                <w:b w:val="0"/>
                <w:i w:val="0"/>
                <w:color w:val="1A1A1A"/>
                <w:sz w:val="18"/>
              </w:rPr>
              <w:t>Sponsor eines Kunden</w:t>
            </w:r>
          </w:p>
        </w:tc>
        <w:tc>
          <w:tcPr>
            <w:tcW w:type="dxa" w:w="3213"/>
          </w:tcPr>
          <w:p>
            <w:pPr>
              <w:spacing w:after="0" w:before="0"/>
            </w:pPr>
            <w:r/>
            <w:r>
              <w:rPr>
                <w:b w:val="0"/>
                <w:i w:val="0"/>
                <w:color w:val="1A1A1A"/>
                <w:sz w:val="18"/>
              </w:rPr>
              <w:t>Werbung und Produkte passen zu den Grundsätzen; keine unbelegten Umweltaussagen</w:t>
            </w:r>
          </w:p>
        </w:tc>
        <w:tc>
          <w:tcPr>
            <w:tcW w:type="dxa" w:w="3213"/>
          </w:tcPr>
          <w:p>
            <w:pPr>
              <w:spacing w:after="0" w:before="0"/>
            </w:pPr>
            <w:r/>
            <w:r>
              <w:rPr>
                <w:b w:val="0"/>
                <w:i w:val="0"/>
                <w:color w:val="1A1A1A"/>
                <w:sz w:val="18"/>
              </w:rPr>
              <w:t>Muster vorab; Freigabe durch die Bankettleitung</w:t>
            </w:r>
          </w:p>
        </w:tc>
      </w:tr>
    </w:tbl>
    <w:p>
      <w:pPr>
        <w:spacing w:after="40"/>
      </w:pPr>
    </w:p>
    <w:p>
      <w:pPr>
        <w:pStyle w:val="Heading2"/>
      </w:pPr>
      <w:r>
        <w:t>Praktische Anwendung: Lieferanten nach Nachhaltigkeitskriterien auswählen und führen in sieben Schritten</w:t>
      </w:r>
    </w:p>
    <w:p>
      <w:pPr>
        <w:tabs>
          <w:tab w:pos="340" w:val="left"/>
        </w:tabs>
        <w:ind w:left="340" w:hanging="340"/>
      </w:pPr>
      <w:r>
        <w:rPr>
          <w:b/>
          <w:color w:val="8C5A2B"/>
        </w:rPr>
        <w:t>1.</w:t>
        <w:tab/>
      </w:r>
      <w:r>
        <w:rPr>
          <w:b/>
        </w:rPr>
        <w:t>Die Lieferanten nach Wirkung ordnen.</w:t>
      </w:r>
      <w:r>
        <w:t xml:space="preserve"> Welche Kategorien bewirken bei Veranstaltungen am meisten, nach den bewerteten Themen des Hauses (2.5)? Dort beginnt das Haus, nicht bei allen zugleich.</w:t>
      </w:r>
    </w:p>
    <w:p>
      <w:pPr>
        <w:tabs>
          <w:tab w:pos="340" w:val="left"/>
        </w:tabs>
        <w:ind w:left="340" w:hanging="340"/>
      </w:pPr>
      <w:r>
        <w:rPr>
          <w:b/>
          <w:color w:val="8C5A2B"/>
        </w:rPr>
        <w:t>2.</w:t>
        <w:tab/>
      </w:r>
      <w:r>
        <w:rPr>
          <w:b/>
        </w:rPr>
        <w:t>Je Kategorie zwei oder drei Kriterien festlegen.</w:t>
      </w:r>
      <w:r>
        <w:t xml:space="preserve"> Kriterien, die eine Leistung beschreiben, nicht ein Papier. Die Gewichtung von Preis und Kriterien kann je Kategorie verschieden sein.</w:t>
      </w:r>
    </w:p>
    <w:p>
      <w:pPr>
        <w:tabs>
          <w:tab w:pos="340" w:val="left"/>
        </w:tabs>
        <w:ind w:left="340" w:hanging="340"/>
      </w:pPr>
      <w:r>
        <w:rPr>
          <w:b/>
          <w:color w:val="8C5A2B"/>
        </w:rPr>
        <w:t>3.</w:t>
        <w:tab/>
      </w:r>
      <w:r>
        <w:rPr>
          <w:b/>
        </w:rPr>
        <w:t>Die Fragen nach Größe staffeln.</w:t>
      </w:r>
      <w:r>
        <w:t xml:space="preserve"> Für Betriebe mit wenigen Beschäftigten eine Seite und ein Besuch, für große Betriebe ausführlicher. Ein Zertifikat zählt als Beleg, nicht als Leistung.</w:t>
      </w:r>
    </w:p>
    <w:p>
      <w:pPr>
        <w:tabs>
          <w:tab w:pos="340" w:val="left"/>
        </w:tabs>
        <w:ind w:left="340" w:hanging="340"/>
      </w:pPr>
      <w:r>
        <w:rPr>
          <w:b/>
          <w:color w:val="8C5A2B"/>
        </w:rPr>
        <w:t>4.</w:t>
        <w:tab/>
      </w:r>
      <w:r>
        <w:rPr>
          <w:b/>
        </w:rPr>
        <w:t>Nachweise dort verlangen, wo es zählt.</w:t>
      </w:r>
      <w:r>
        <w:t xml:space="preserve"> Abgleich von Abrechnung und Dienstplan bei Leihkräften, Lieferscheine mit Herkunft bei Blumen, Tourenpläne bei Technik und Wäsche.</w:t>
      </w:r>
    </w:p>
    <w:p>
      <w:pPr>
        <w:tabs>
          <w:tab w:pos="340" w:val="left"/>
        </w:tabs>
        <w:ind w:left="340" w:hanging="340"/>
      </w:pPr>
      <w:r>
        <w:rPr>
          <w:b/>
          <w:color w:val="8C5A2B"/>
        </w:rPr>
        <w:t>5.</w:t>
        <w:tab/>
      </w:r>
      <w:r>
        <w:rPr>
          <w:b/>
        </w:rPr>
        <w:t>Fair ausschreiben.</w:t>
      </w:r>
      <w:r>
        <w:t xml:space="preserve"> Klare Unterlagen, eine Frist, die auch ein kleiner Betrieb einhalten kann, verständliche Bewertung, eine Rückmeldung an alle, die angeboten haben.</w:t>
      </w:r>
    </w:p>
    <w:p>
      <w:pPr>
        <w:tabs>
          <w:tab w:pos="340" w:val="left"/>
        </w:tabs>
        <w:ind w:left="340" w:hanging="340"/>
      </w:pPr>
      <w:r>
        <w:rPr>
          <w:b/>
          <w:color w:val="8C5A2B"/>
        </w:rPr>
        <w:t>6.</w:t>
        <w:tab/>
      </w:r>
      <w:r>
        <w:rPr>
          <w:b/>
        </w:rPr>
        <w:t>Die Kriterien in den Vertrag schreiben.</w:t>
      </w:r>
      <w:r>
        <w:t xml:space="preserve"> Mit Prüfrecht des Hauses und mit der Regel, was geschieht, wenn ein Kriterium nicht erfüllt ist. Sponsoren eines Kunden legen ihre Muster vorher zur Freigabe vor.</w:t>
      </w:r>
    </w:p>
    <w:p>
      <w:pPr>
        <w:tabs>
          <w:tab w:pos="340" w:val="left"/>
        </w:tabs>
        <w:ind w:left="340" w:hanging="340"/>
      </w:pPr>
      <w:r>
        <w:rPr>
          <w:b/>
          <w:color w:val="8C5A2B"/>
        </w:rPr>
        <w:t>7.</w:t>
        <w:tab/>
      </w:r>
      <w:r>
        <w:rPr>
          <w:b/>
        </w:rPr>
        <w:t>Während der Laufzeit beobachten.</w:t>
      </w:r>
      <w:r>
        <w:t xml:space="preserve"> Nach jeder größeren Veranstaltung wenige Zeilen je Lieferant, einmal im Jahr ein Gespräch. Pünktlich bezahlen gehört dazu.</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Die Lieferanten nach Wirkung ordnen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Je Kategorie zwei oder drei Kriterien festlegen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Die Fragen nach Größe staffeln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Nachweise dort verlangen, wo es zählt</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Fair ausschreiben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Die Kriterien in den Vertrag schreiben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Während der Laufzeit beobachten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Haben wir für jede wichtige Lieferantenkategorie eigene Kriterien?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Beschreiben unsere Kriterien Leistungen statt Papiere?</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Kann ein Betrieb mit drei Beschäftigten an unserer Ausschreibung teilnehmen?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Verlangen wir Nachweise dort, wo ein Kriterium viel bewirkt oder ein Risiko trägt?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Stehen die Kriterien in den Verträgen, mit Prüfrecht?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Bewerten wir Lieferanten auch nach der Auswahl, nach den Veranstaltungen?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Prüfen wir Produkte und Werbung von Sponsoren unserer Kunden vor der Veranstaltung?</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Bezahlen wir kleine Lieferanten pünktlich?</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Einen Bogen an alle schicken.</w:t>
      </w:r>
      <w:r>
        <w:t xml:space="preserve"> Er trifft bei keiner Kategorie das Wesentliche.</w:t>
      </w:r>
    </w:p>
    <w:p>
      <w:pPr>
        <w:tabs>
          <w:tab w:pos="340" w:val="left"/>
        </w:tabs>
        <w:ind w:left="340" w:hanging="340"/>
      </w:pPr>
      <w:r>
        <w:rPr>
          <w:color w:val="8C5A2B"/>
        </w:rPr>
        <w:t>–</w:t>
        <w:tab/>
      </w:r>
      <w:r>
        <w:rPr>
          <w:b/>
        </w:rPr>
        <w:t>Punkte für Papiere vergeben.</w:t>
      </w:r>
      <w:r>
        <w:t xml:space="preserve"> Dann gewinnt die Verwaltung des Lieferanten, nicht seine Arbeit.</w:t>
      </w:r>
    </w:p>
    <w:p>
      <w:pPr>
        <w:tabs>
          <w:tab w:pos="340" w:val="left"/>
        </w:tabs>
        <w:ind w:left="340" w:hanging="340"/>
      </w:pPr>
      <w:r>
        <w:rPr>
          <w:color w:val="8C5A2B"/>
        </w:rPr>
        <w:t>–</w:t>
        <w:tab/>
      </w:r>
      <w:r>
        <w:rPr>
          <w:b/>
        </w:rPr>
        <w:t>Kleine Betriebe mit Konzernbögen befragen.</w:t>
      </w:r>
      <w:r>
        <w:t xml:space="preserve"> Sie antworten nicht, und das Haus verliert seine besten regionalen Lieferanten.</w:t>
      </w:r>
    </w:p>
    <w:p>
      <w:pPr>
        <w:tabs>
          <w:tab w:pos="340" w:val="left"/>
        </w:tabs>
        <w:ind w:left="340" w:hanging="340"/>
      </w:pPr>
      <w:r>
        <w:rPr>
          <w:color w:val="8C5A2B"/>
        </w:rPr>
        <w:t>–</w:t>
        <w:tab/>
      </w:r>
      <w:r>
        <w:rPr>
          <w:b/>
        </w:rPr>
        <w:t>Selbstauskünfte ohne Beleg werten.</w:t>
      </w:r>
      <w:r>
        <w:t xml:space="preserve"> Auf die Frage nach dem Mindestlohn antwortet jeder mit ja.</w:t>
      </w:r>
    </w:p>
    <w:p>
      <w:pPr>
        <w:tabs>
          <w:tab w:pos="340" w:val="left"/>
        </w:tabs>
        <w:ind w:left="340" w:hanging="340"/>
      </w:pPr>
      <w:r>
        <w:rPr>
          <w:color w:val="8C5A2B"/>
        </w:rPr>
        <w:t>–</w:t>
        <w:tab/>
      </w:r>
      <w:r>
        <w:rPr>
          <w:b/>
        </w:rPr>
        <w:t>Nach der Auswahl aufhören.</w:t>
      </w:r>
      <w:r>
        <w:t xml:space="preserve"> Ohne Vertrag und Beobachtung gelten die Kriterien einen Tag.</w:t>
      </w:r>
    </w:p>
    <w:p>
      <w:pPr>
        <w:tabs>
          <w:tab w:pos="340" w:val="left"/>
        </w:tabs>
        <w:ind w:left="340" w:hanging="340"/>
      </w:pPr>
      <w:r>
        <w:rPr>
          <w:color w:val="8C5A2B"/>
        </w:rPr>
        <w:t>–</w:t>
        <w:tab/>
      </w:r>
      <w:r>
        <w:rPr>
          <w:b/>
        </w:rPr>
        <w:t>Den Sponsor des Kunden übersehen.</w:t>
      </w:r>
      <w:r>
        <w:t xml:space="preserve"> Was er im Haus verteilt, erhält der Gast vom Haus.</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Volumen der vier Verträge</w:t>
            </w:r>
          </w:p>
        </w:tc>
        <w:tc>
          <w:tcPr>
            <w:tcW w:type="dxa" w:w="1474"/>
          </w:tcPr>
          <w:p>
            <w:pPr>
              <w:spacing w:after="0" w:before="0"/>
            </w:pPr>
            <w:r/>
            <w:r>
              <w:rPr>
                <w:b w:val="0"/>
                <w:i w:val="0"/>
                <w:color w:val="1A1A1A"/>
                <w:sz w:val="18"/>
              </w:rPr>
              <w:t>€ 465.000</w:t>
            </w:r>
          </w:p>
        </w:tc>
        <w:tc>
          <w:tcPr>
            <w:tcW w:type="dxa" w:w="3175"/>
          </w:tcPr>
          <w:p>
            <w:pPr>
              <w:spacing w:after="0" w:before="0"/>
            </w:pPr>
            <w:r/>
            <w:r>
              <w:rPr>
                <w:b w:val="0"/>
                <w:i w:val="0"/>
                <w:color w:val="1A1A1A"/>
                <w:sz w:val="18"/>
              </w:rPr>
              <w:t>Floristik 38.000, Technik 95.000, Personal 168.000, Wäscherei 164.000; jährlich</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Personalagentur: 6.000 Stunden zu € 28</w:t>
            </w:r>
          </w:p>
        </w:tc>
        <w:tc>
          <w:tcPr>
            <w:tcW w:type="dxa" w:w="1474"/>
            <w:shd w:val="clear" w:color="auto" w:fill="F3EFE6"/>
          </w:tcPr>
          <w:p>
            <w:pPr>
              <w:spacing w:after="0" w:before="0"/>
            </w:pPr>
            <w:r/>
            <w:r>
              <w:rPr>
                <w:b w:val="0"/>
                <w:i w:val="0"/>
                <w:color w:val="1A1A1A"/>
                <w:sz w:val="18"/>
              </w:rPr>
              <w:t>€ 168.000</w:t>
            </w:r>
          </w:p>
        </w:tc>
        <w:tc>
          <w:tcPr>
            <w:tcW w:type="dxa" w:w="3175"/>
            <w:shd w:val="clear" w:color="auto" w:fill="F3EFE6"/>
          </w:tcPr>
          <w:p>
            <w:pPr>
              <w:spacing w:after="0" w:before="0"/>
            </w:pPr>
            <w:r/>
            <w:r>
              <w:rPr>
                <w:b w:val="0"/>
                <w:i w:val="0"/>
                <w:color w:val="1A1A1A"/>
                <w:sz w:val="18"/>
              </w:rPr>
              <w:t>jährlich</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Mehrpreis der kleinen Floristin: 9 % von € 38.000</w:t>
            </w:r>
          </w:p>
        </w:tc>
        <w:tc>
          <w:tcPr>
            <w:tcW w:type="dxa" w:w="1474"/>
          </w:tcPr>
          <w:p>
            <w:pPr>
              <w:spacing w:after="0" w:before="0"/>
            </w:pPr>
            <w:r/>
            <w:r>
              <w:rPr>
                <w:b w:val="0"/>
                <w:i w:val="0"/>
                <w:color w:val="1A1A1A"/>
                <w:sz w:val="18"/>
              </w:rPr>
              <w:t>€ 3.420</w:t>
            </w:r>
          </w:p>
        </w:tc>
        <w:tc>
          <w:tcPr>
            <w:tcW w:type="dxa" w:w="3175"/>
          </w:tcPr>
          <w:p>
            <w:pPr>
              <w:spacing w:after="0" w:before="0"/>
            </w:pPr>
            <w:r/>
            <w:r>
              <w:rPr>
                <w:b w:val="0"/>
                <w:i w:val="0"/>
                <w:color w:val="1A1A1A"/>
                <w:sz w:val="18"/>
              </w:rPr>
              <w:t>jährlich</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Kriterienblätter und gestaffelter Fragebogen</w:t>
            </w:r>
          </w:p>
        </w:tc>
        <w:tc>
          <w:tcPr>
            <w:tcW w:type="dxa" w:w="1474"/>
            <w:shd w:val="clear" w:color="auto" w:fill="F3EFE6"/>
          </w:tcPr>
          <w:p>
            <w:pPr>
              <w:spacing w:after="0" w:before="0"/>
            </w:pPr>
            <w:r/>
            <w:r>
              <w:rPr>
                <w:b w:val="0"/>
                <w:i w:val="0"/>
                <w:color w:val="1A1A1A"/>
                <w:sz w:val="18"/>
              </w:rPr>
              <w:t>20 Stunden</w:t>
            </w:r>
          </w:p>
        </w:tc>
        <w:tc>
          <w:tcPr>
            <w:tcW w:type="dxa" w:w="3175"/>
            <w:shd w:val="clear" w:color="auto" w:fill="F3EFE6"/>
          </w:tcPr>
          <w:p>
            <w:pPr>
              <w:spacing w:after="0" w:before="0"/>
            </w:pPr>
            <w:r/>
            <w:r>
              <w:rPr>
                <w:b w:val="0"/>
                <w:i w:val="0"/>
                <w:color w:val="1A1A1A"/>
                <w:sz w:val="18"/>
              </w:rPr>
              <w:t>einmalig, Einkauf und Bankettleitung</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Besuche bei vier Lieferanten</w:t>
            </w:r>
          </w:p>
        </w:tc>
        <w:tc>
          <w:tcPr>
            <w:tcW w:type="dxa" w:w="1474"/>
          </w:tcPr>
          <w:p>
            <w:pPr>
              <w:spacing w:after="0" w:before="0"/>
            </w:pPr>
            <w:r/>
            <w:r>
              <w:rPr>
                <w:b w:val="0"/>
                <w:i w:val="0"/>
                <w:color w:val="1A1A1A"/>
                <w:sz w:val="18"/>
              </w:rPr>
              <w:t>12 Stunden</w:t>
            </w:r>
          </w:p>
        </w:tc>
        <w:tc>
          <w:tcPr>
            <w:tcW w:type="dxa" w:w="3175"/>
          </w:tcPr>
          <w:p>
            <w:pPr>
              <w:spacing w:after="0" w:before="0"/>
            </w:pPr>
            <w:r/>
            <w:r>
              <w:rPr>
                <w:b w:val="0"/>
                <w:i w:val="0"/>
                <w:color w:val="1A1A1A"/>
                <w:sz w:val="18"/>
              </w:rPr>
              <w:t>einmalig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Abgleich Stundenzettel und Dienstplan, 12 Stichproben</w:t>
            </w:r>
          </w:p>
        </w:tc>
        <w:tc>
          <w:tcPr>
            <w:tcW w:type="dxa" w:w="1474"/>
            <w:shd w:val="clear" w:color="auto" w:fill="F3EFE6"/>
          </w:tcPr>
          <w:p>
            <w:pPr>
              <w:spacing w:after="0" w:before="0"/>
            </w:pPr>
            <w:r/>
            <w:r>
              <w:rPr>
                <w:b w:val="0"/>
                <w:i w:val="0"/>
                <w:color w:val="1A1A1A"/>
                <w:sz w:val="18"/>
              </w:rPr>
              <w:t>12 Stunden</w:t>
            </w:r>
          </w:p>
        </w:tc>
        <w:tc>
          <w:tcPr>
            <w:tcW w:type="dxa" w:w="3175"/>
            <w:shd w:val="clear" w:color="auto" w:fill="F3EFE6"/>
          </w:tcPr>
          <w:p>
            <w:pPr>
              <w:spacing w:after="0" w:before="0"/>
            </w:pPr>
            <w:r/>
            <w:r>
              <w:rPr>
                <w:b w:val="0"/>
                <w:i w:val="0"/>
                <w:color w:val="1A1A1A"/>
                <w:sz w:val="18"/>
              </w:rPr>
              <w:t>jährlich, Bankettleitung</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Bewertung nach einer Veranstaltung</w:t>
            </w:r>
          </w:p>
        </w:tc>
        <w:tc>
          <w:tcPr>
            <w:tcW w:type="dxa" w:w="1474"/>
          </w:tcPr>
          <w:p>
            <w:pPr>
              <w:spacing w:after="0" w:before="0"/>
            </w:pPr>
            <w:r/>
            <w:r>
              <w:rPr>
                <w:b w:val="0"/>
                <w:i w:val="0"/>
                <w:color w:val="1A1A1A"/>
                <w:sz w:val="18"/>
              </w:rPr>
              <w:t>15 Minuten</w:t>
            </w:r>
          </w:p>
        </w:tc>
        <w:tc>
          <w:tcPr>
            <w:tcW w:type="dxa" w:w="3175"/>
          </w:tcPr>
          <w:p>
            <w:pPr>
              <w:spacing w:after="0" w:before="0"/>
            </w:pPr>
            <w:r/>
            <w:r>
              <w:rPr>
                <w:b w:val="0"/>
                <w:i w:val="0"/>
                <w:color w:val="1A1A1A"/>
                <w:sz w:val="18"/>
              </w:rPr>
              <w:t>je Lieferant</w:t>
            </w:r>
          </w:p>
        </w:tc>
        <w:tc>
          <w:tcPr>
            <w:tcW w:type="dxa" w:w="1814"/>
          </w:tcPr>
          <w:p>
            <w:pPr>
              <w:spacing w:after="0" w:before="0"/>
            </w:pPr>
            <w:r/>
            <w:r>
              <w:rPr>
                <w:b w:val="0"/>
                <w:i w:val="0"/>
                <w:color w:val="1A1A1A"/>
                <w:sz w:val="18"/>
              </w:rPr>
            </w:r>
          </w:p>
        </w:tc>
      </w:tr>
    </w:tbl>
    <w:p>
      <w:pPr>
        <w:spacing w:after="40"/>
      </w:pPr>
    </w:p>
    <w:p>
      <w:r>
        <w:rPr>
          <w:b w:val="0"/>
          <w:i w:val="0"/>
        </w:rPr>
        <w:t>Der Mehrpreis für die Floristin entspricht weniger als einem Prozent des ausgeschriebenen Volumens. Die Rechnung behauptet nicht, dass der kleinere Betrieb immer der nachhaltigere ist. Sie zeigt, was es kostet, ihn nicht durch das Verfahren zu verlieren.</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Kriterien für Auswahl und Bewertung bestimmen und anwenden (8.3)</w:t>
            </w:r>
          </w:p>
        </w:tc>
        <w:tc>
          <w:tcPr>
            <w:tcW w:type="dxa" w:w="3175"/>
          </w:tcPr>
          <w:p>
            <w:pPr>
              <w:spacing w:after="0" w:before="0"/>
            </w:pPr>
            <w:r/>
            <w:r>
              <w:rPr>
                <w:b w:val="0"/>
                <w:i w:val="0"/>
                <w:color w:val="1A1A1A"/>
                <w:sz w:val="18"/>
              </w:rPr>
              <w:t>Kriterienblatt je Kategorie, Bewertungsbogen der Angebote</w:t>
            </w:r>
          </w:p>
        </w:tc>
        <w:tc>
          <w:tcPr>
            <w:tcW w:type="dxa" w:w="3175"/>
          </w:tcPr>
          <w:p>
            <w:pPr>
              <w:spacing w:after="0" w:before="0"/>
            </w:pPr>
            <w:r/>
            <w:r>
              <w:rPr>
                <w:b w:val="0"/>
                <w:i w:val="0"/>
                <w:color w:val="1A1A1A"/>
                <w:sz w:val="18"/>
              </w:rPr>
              <w:t>Gewichtete Bewertung, Lebenszykluskosten (B.6)</w:t>
            </w:r>
          </w:p>
        </w:tc>
      </w:tr>
      <w:tr>
        <w:trPr>
          <w:cantSplit w:val="true"/>
        </w:trPr>
        <w:tc>
          <w:tcPr>
            <w:tcW w:type="dxa" w:w="3288"/>
            <w:shd w:val="clear" w:color="auto" w:fill="F3EFE6"/>
          </w:tcPr>
          <w:p>
            <w:pPr>
              <w:spacing w:after="0" w:before="0"/>
            </w:pPr>
            <w:r/>
            <w:r>
              <w:rPr>
                <w:b w:val="0"/>
                <w:i w:val="0"/>
                <w:color w:val="1A1A1A"/>
                <w:sz w:val="18"/>
              </w:rPr>
              <w:t>Nachweise anfordern, wo zutreffend (8.3)</w:t>
            </w:r>
          </w:p>
        </w:tc>
        <w:tc>
          <w:tcPr>
            <w:tcW w:type="dxa" w:w="3175"/>
            <w:shd w:val="clear" w:color="auto" w:fill="F3EFE6"/>
          </w:tcPr>
          <w:p>
            <w:pPr>
              <w:spacing w:after="0" w:before="0"/>
            </w:pPr>
            <w:r/>
            <w:r>
              <w:rPr>
                <w:b w:val="0"/>
                <w:i w:val="0"/>
                <w:color w:val="1A1A1A"/>
                <w:sz w:val="18"/>
              </w:rPr>
              <w:t>Stundenzettelabgleich, Lieferscheine, Besuchsnotiz</w:t>
            </w:r>
          </w:p>
        </w:tc>
        <w:tc>
          <w:tcPr>
            <w:tcW w:type="dxa" w:w="3175"/>
            <w:shd w:val="clear" w:color="auto" w:fill="F3EFE6"/>
          </w:tcPr>
          <w:p>
            <w:pPr>
              <w:spacing w:after="0" w:before="0"/>
            </w:pPr>
            <w:r/>
            <w:r>
              <w:rPr>
                <w:b w:val="0"/>
                <w:i w:val="0"/>
                <w:color w:val="1A1A1A"/>
                <w:sz w:val="18"/>
              </w:rPr>
              <w:t>Dokumentenprüfung, Audits vor Ort (B.9)</w:t>
            </w:r>
          </w:p>
        </w:tc>
      </w:tr>
      <w:tr>
        <w:trPr>
          <w:cantSplit w:val="true"/>
        </w:trPr>
        <w:tc>
          <w:tcPr>
            <w:tcW w:type="dxa" w:w="3288"/>
          </w:tcPr>
          <w:p>
            <w:pPr>
              <w:spacing w:after="0" w:before="0"/>
            </w:pPr>
            <w:r/>
            <w:r>
              <w:rPr>
                <w:b w:val="0"/>
                <w:i w:val="0"/>
                <w:color w:val="1A1A1A"/>
                <w:sz w:val="18"/>
              </w:rPr>
              <w:t>Anforderungen in den Unterlagen, bei der Auswahl berücksichtigt (8.3)</w:t>
            </w:r>
          </w:p>
        </w:tc>
        <w:tc>
          <w:tcPr>
            <w:tcW w:type="dxa" w:w="3175"/>
          </w:tcPr>
          <w:p>
            <w:pPr>
              <w:spacing w:after="0" w:before="0"/>
            </w:pPr>
            <w:r/>
            <w:r>
              <w:rPr>
                <w:b w:val="0"/>
                <w:i w:val="0"/>
                <w:color w:val="1A1A1A"/>
                <w:sz w:val="18"/>
              </w:rPr>
              <w:t>Ausschreibung mit Kriterien; Vertrag mit Prüfrecht</w:t>
            </w:r>
          </w:p>
        </w:tc>
        <w:tc>
          <w:tcPr>
            <w:tcW w:type="dxa" w:w="3175"/>
          </w:tcPr>
          <w:p>
            <w:pPr>
              <w:spacing w:after="0" w:before="0"/>
            </w:pPr>
            <w:r/>
            <w:r>
              <w:rPr>
                <w:b w:val="0"/>
                <w:i w:val="0"/>
                <w:color w:val="1A1A1A"/>
                <w:sz w:val="18"/>
              </w:rPr>
              <w:t>Schritte der Ausschreibung, drei Wochen Frist (B.4)</w:t>
            </w:r>
          </w:p>
        </w:tc>
      </w:tr>
      <w:tr>
        <w:trPr>
          <w:cantSplit w:val="true"/>
        </w:trPr>
        <w:tc>
          <w:tcPr>
            <w:tcW w:type="dxa" w:w="3288"/>
            <w:shd w:val="clear" w:color="auto" w:fill="F3EFE6"/>
          </w:tcPr>
          <w:p>
            <w:pPr>
              <w:spacing w:after="0" w:before="0"/>
            </w:pPr>
            <w:r/>
            <w:r>
              <w:rPr>
                <w:b w:val="0"/>
                <w:i w:val="0"/>
                <w:color w:val="1A1A1A"/>
                <w:sz w:val="18"/>
              </w:rPr>
              <w:t>Nachhaltigkeit auch ohne förmliche Ausschreibung (8.3)</w:t>
            </w:r>
          </w:p>
        </w:tc>
        <w:tc>
          <w:tcPr>
            <w:tcW w:type="dxa" w:w="3175"/>
            <w:shd w:val="clear" w:color="auto" w:fill="F3EFE6"/>
          </w:tcPr>
          <w:p>
            <w:pPr>
              <w:spacing w:after="0" w:before="0"/>
            </w:pPr>
            <w:r/>
            <w:r>
              <w:rPr>
                <w:b w:val="0"/>
                <w:i w:val="0"/>
                <w:color w:val="1A1A1A"/>
                <w:sz w:val="18"/>
              </w:rPr>
              <w:t>Kriterien bei Nachbestellung und Notfallauftrag</w:t>
            </w:r>
          </w:p>
        </w:tc>
        <w:tc>
          <w:tcPr>
            <w:tcW w:type="dxa" w:w="3175"/>
            <w:shd w:val="clear" w:color="auto" w:fill="F3EFE6"/>
          </w:tcPr>
          <w:p>
            <w:pPr>
              <w:spacing w:after="0" w:before="0"/>
            </w:pPr>
            <w:r/>
            <w:r>
              <w:rPr>
                <w:b w:val="0"/>
                <w:i w:val="0"/>
                <w:color w:val="1A1A1A"/>
                <w:sz w:val="18"/>
              </w:rPr>
              <w:t>Partnerschaft statt Abhaken (B.7)</w:t>
            </w:r>
          </w:p>
        </w:tc>
      </w:tr>
      <w:tr>
        <w:trPr>
          <w:cantSplit w:val="true"/>
        </w:trPr>
        <w:tc>
          <w:tcPr>
            <w:tcW w:type="dxa" w:w="3288"/>
          </w:tcPr>
          <w:p>
            <w:pPr>
              <w:spacing w:after="0" w:before="0"/>
            </w:pPr>
            <w:r/>
            <w:r>
              <w:rPr>
                <w:b w:val="0"/>
                <w:i w:val="0"/>
                <w:color w:val="1A1A1A"/>
                <w:sz w:val="18"/>
              </w:rPr>
              <w:t>Werbung und Produkte von Sponsoren im Einklang mit den Grundsätzen (8.3)</w:t>
            </w:r>
          </w:p>
        </w:tc>
        <w:tc>
          <w:tcPr>
            <w:tcW w:type="dxa" w:w="3175"/>
          </w:tcPr>
          <w:p>
            <w:pPr>
              <w:spacing w:after="0" w:before="0"/>
            </w:pPr>
            <w:r/>
            <w:r>
              <w:rPr>
                <w:b w:val="0"/>
                <w:i w:val="0"/>
                <w:color w:val="1A1A1A"/>
                <w:sz w:val="18"/>
              </w:rPr>
              <w:t>Freigabe der Muster durch die Bankettleitung</w:t>
            </w:r>
          </w:p>
        </w:tc>
        <w:tc>
          <w:tcPr>
            <w:tcW w:type="dxa" w:w="3175"/>
          </w:tcPr>
          <w:p>
            <w:pPr>
              <w:spacing w:after="0" w:before="0"/>
            </w:pPr>
            <w:r/>
            <w:r>
              <w:rPr>
                <w:b w:val="0"/>
                <w:i w:val="0"/>
                <w:color w:val="1A1A1A"/>
                <w:sz w:val="18"/>
              </w:rPr>
              <w:t>Sponsorklausel als Methode (1.7)</w:t>
            </w:r>
          </w:p>
        </w:tc>
      </w:tr>
      <w:tr>
        <w:trPr>
          <w:cantSplit w:val="true"/>
        </w:trPr>
        <w:tc>
          <w:tcPr>
            <w:tcW w:type="dxa" w:w="3288"/>
            <w:shd w:val="clear" w:color="auto" w:fill="F3EFE6"/>
          </w:tcPr>
          <w:p>
            <w:pPr>
              <w:spacing w:after="0" w:before="0"/>
            </w:pPr>
            <w:r/>
            <w:r>
              <w:rPr>
                <w:b w:val="0"/>
                <w:i w:val="0"/>
                <w:color w:val="1A1A1A"/>
                <w:sz w:val="18"/>
              </w:rPr>
              <w:t>Dokumentierte Information aufbewahren (8.3)</w:t>
            </w:r>
          </w:p>
        </w:tc>
        <w:tc>
          <w:tcPr>
            <w:tcW w:type="dxa" w:w="3175"/>
            <w:shd w:val="clear" w:color="auto" w:fill="F3EFE6"/>
          </w:tcPr>
          <w:p>
            <w:pPr>
              <w:spacing w:after="0" w:before="0"/>
            </w:pPr>
            <w:r/>
            <w:r>
              <w:rPr>
                <w:b w:val="0"/>
                <w:i w:val="0"/>
                <w:color w:val="1A1A1A"/>
                <w:sz w:val="18"/>
              </w:rPr>
              <w:t>Ablage je Lieferant: Kriterien, Nachweise, Bewertungen</w:t>
            </w:r>
          </w:p>
        </w:tc>
        <w:tc>
          <w:tcPr>
            <w:tcW w:type="dxa" w:w="3175"/>
            <w:shd w:val="clear" w:color="auto" w:fill="F3EFE6"/>
          </w:tcPr>
          <w:p>
            <w:pPr>
              <w:spacing w:after="0" w:before="0"/>
            </w:pPr>
            <w:r/>
            <w:r>
              <w:rPr>
                <w:b w:val="0"/>
                <w:i w:val="0"/>
                <w:color w:val="1A1A1A"/>
                <w:sz w:val="18"/>
              </w:rPr>
              <w:t>Reifegradmatrix für die Selbsteinschätzung (Tabelle A.5)</w:t>
            </w:r>
          </w:p>
        </w:tc>
      </w:tr>
    </w:tbl>
    <w:p>
      <w:pPr>
        <w:spacing w:after="40"/>
      </w:pPr>
    </w:p>
    <w:p>
      <w:pPr>
        <w:pStyle w:val="Heading2"/>
      </w:pPr>
      <w:r>
        <w:t>DACH-Anker: Lieferkette und Recht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Sorgfalt in Lieferketten</w:t>
            </w:r>
          </w:p>
        </w:tc>
        <w:tc>
          <w:tcPr>
            <w:tcW w:type="dxa" w:w="2721"/>
          </w:tcPr>
          <w:p>
            <w:pPr>
              <w:spacing w:after="0" w:before="0"/>
            </w:pPr>
            <w:r/>
            <w:r>
              <w:rPr>
                <w:b w:val="0"/>
                <w:i w:val="0"/>
                <w:color w:val="1A1A1A"/>
                <w:sz w:val="17"/>
              </w:rPr>
              <w:t>LkSG für Unternehmen ab 1.000 Beschäftigten im Inland; Hotel meist als Lieferant betroffen</w:t>
            </w:r>
          </w:p>
        </w:tc>
        <w:tc>
          <w:tcPr>
            <w:tcW w:type="dxa" w:w="2721"/>
          </w:tcPr>
          <w:p>
            <w:pPr>
              <w:spacing w:after="0" w:before="0"/>
            </w:pPr>
            <w:r/>
            <w:r>
              <w:rPr>
                <w:b w:val="0"/>
                <w:i w:val="0"/>
                <w:color w:val="1A1A1A"/>
                <w:sz w:val="17"/>
              </w:rPr>
              <w:t>EU-Richtlinie nach Omnibus I künftig für Unternehmen über 5.000 Beschäftigte und 1,5 Mrd. Euro Umsatz; Umsetzung in nationales Recht bis 26. Juli 2028, Anwendung ab Juli 2029</w:t>
            </w:r>
          </w:p>
        </w:tc>
        <w:tc>
          <w:tcPr>
            <w:tcW w:type="dxa" w:w="2721"/>
          </w:tcPr>
          <w:p>
            <w:pPr>
              <w:spacing w:after="0" w:before="0"/>
            </w:pPr>
            <w:r/>
            <w:r>
              <w:rPr>
                <w:b w:val="0"/>
                <w:i w:val="0"/>
                <w:color w:val="1A1A1A"/>
                <w:sz w:val="17"/>
              </w:rPr>
              <w:t>Prüfpflicht zu Kinderarbeit (Art. 964j ff. OR); Ausnahme für KMU (Art. 6 VSoTr), nicht bei offensichtlicher Kinderarbeit (Art. 8 VSoTr)</w:t>
            </w:r>
          </w:p>
        </w:tc>
      </w:tr>
      <w:tr>
        <w:trPr>
          <w:cantSplit w:val="true"/>
        </w:trPr>
        <w:tc>
          <w:tcPr>
            <w:tcW w:type="dxa" w:w="1474"/>
            <w:shd w:val="clear" w:color="auto" w:fill="F3EFE6"/>
          </w:tcPr>
          <w:p>
            <w:pPr>
              <w:spacing w:after="0" w:before="0"/>
            </w:pPr>
            <w:r/>
            <w:r>
              <w:rPr>
                <w:b w:val="0"/>
                <w:i w:val="0"/>
                <w:color w:val="1A1A1A"/>
                <w:sz w:val="17"/>
              </w:rPr>
              <w:t>Leihkräfte im Haus</w:t>
            </w:r>
          </w:p>
        </w:tc>
        <w:tc>
          <w:tcPr>
            <w:tcW w:type="dxa" w:w="2721"/>
            <w:shd w:val="clear" w:color="auto" w:fill="F3EFE6"/>
          </w:tcPr>
          <w:p>
            <w:pPr>
              <w:spacing w:after="0" w:before="0"/>
            </w:pPr>
            <w:r/>
            <w:r>
              <w:rPr>
                <w:b w:val="0"/>
                <w:i w:val="0"/>
                <w:color w:val="1A1A1A"/>
                <w:sz w:val="17"/>
              </w:rPr>
              <w:t>Arbeitsschutzpflichten auch beim Entleiher (§ 11 Abs. 6 AÜG)</w:t>
            </w:r>
          </w:p>
        </w:tc>
        <w:tc>
          <w:tcPr>
            <w:tcW w:type="dxa" w:w="2721"/>
            <w:shd w:val="clear" w:color="auto" w:fill="F3EFE6"/>
          </w:tcPr>
          <w:p>
            <w:pPr>
              <w:spacing w:after="0" w:before="0"/>
            </w:pPr>
            <w:r/>
            <w:r>
              <w:rPr>
                <w:b w:val="0"/>
                <w:i w:val="0"/>
                <w:color w:val="1A1A1A"/>
                <w:sz w:val="17"/>
              </w:rPr>
              <w:t>Beschäftiger gilt als Arbeitgeber im Sinne der Arbeitnehmerschutzvorschriften (§ 6 Abs. 1 AÜG)</w:t>
            </w:r>
          </w:p>
        </w:tc>
        <w:tc>
          <w:tcPr>
            <w:tcW w:type="dxa" w:w="2721"/>
            <w:shd w:val="clear" w:color="auto" w:fill="F3EFE6"/>
          </w:tcPr>
          <w:p>
            <w:pPr>
              <w:spacing w:after="0" w:before="0"/>
            </w:pPr>
            <w:r/>
            <w:r>
              <w:rPr>
                <w:b w:val="0"/>
                <w:i w:val="0"/>
                <w:color w:val="1A1A1A"/>
                <w:sz w:val="17"/>
              </w:rPr>
              <w:t>gleiche Pflichten zur Arbeitssicherheit wie gegenüber eigenen Arbeitnehmern (Art. 10 VUV)</w:t>
            </w:r>
          </w:p>
        </w:tc>
      </w:tr>
      <w:tr>
        <w:trPr>
          <w:cantSplit w:val="true"/>
        </w:trPr>
        <w:tc>
          <w:tcPr>
            <w:tcW w:type="dxa" w:w="1474"/>
          </w:tcPr>
          <w:p>
            <w:pPr>
              <w:spacing w:after="0" w:before="0"/>
            </w:pPr>
            <w:r/>
            <w:r>
              <w:rPr>
                <w:b w:val="0"/>
                <w:i w:val="0"/>
                <w:color w:val="1A1A1A"/>
                <w:sz w:val="17"/>
              </w:rPr>
              <w:t>Umweltaussagen auf Produkten</w:t>
            </w:r>
          </w:p>
        </w:tc>
        <w:tc>
          <w:tcPr>
            <w:tcW w:type="dxa" w:w="2721"/>
          </w:tcPr>
          <w:p>
            <w:pPr>
              <w:spacing w:after="0" w:before="0"/>
            </w:pPr>
            <w:r/>
            <w:r>
              <w:rPr>
                <w:b w:val="0"/>
                <w:i w:val="0"/>
                <w:color w:val="1A1A1A"/>
                <w:sz w:val="17"/>
              </w:rPr>
              <w:t>gegenüber Verbrauchern klimaneutral aufgrund von Kompensation unzulässig (Anhang zu § 3 Abs. 3 Nr. 4c UWG), ab 27. September 2026</w:t>
            </w:r>
          </w:p>
        </w:tc>
        <w:tc>
          <w:tcPr>
            <w:tcW w:type="dxa" w:w="2721"/>
          </w:tcPr>
          <w:p>
            <w:pPr>
              <w:spacing w:after="0" w:before="0"/>
            </w:pPr>
            <w:r/>
            <w:r>
              <w:rPr>
                <w:b w:val="0"/>
                <w:i w:val="0"/>
                <w:color w:val="1A1A1A"/>
                <w:sz w:val="17"/>
              </w:rPr>
              <w:t>ebenso gegenüber Verbrauchern, UWG-Novelle BGBl. I Nr. 58/2026</w:t>
            </w:r>
          </w:p>
        </w:tc>
        <w:tc>
          <w:tcPr>
            <w:tcW w:type="dxa" w:w="2721"/>
          </w:tcPr>
          <w:p>
            <w:pPr>
              <w:spacing w:after="0" w:before="0"/>
            </w:pPr>
            <w:r/>
            <w:r>
              <w:rPr>
                <w:b w:val="0"/>
                <w:i w:val="0"/>
                <w:color w:val="1A1A1A"/>
                <w:sz w:val="17"/>
              </w:rPr>
              <w:t>Angaben zur Klimawirkung nur mit objektiven und überprüfbaren Grundlagen (Art. 3 Abs. 1 lit. x UWG)</w:t>
            </w:r>
          </w:p>
        </w:tc>
      </w:tr>
      <w:tr>
        <w:trPr>
          <w:cantSplit w:val="true"/>
        </w:trPr>
        <w:tc>
          <w:tcPr>
            <w:tcW w:type="dxa" w:w="1474"/>
            <w:shd w:val="clear" w:color="auto" w:fill="F3EFE6"/>
          </w:tcPr>
          <w:p>
            <w:pPr>
              <w:spacing w:after="0" w:before="0"/>
            </w:pPr>
            <w:r/>
            <w:r>
              <w:rPr>
                <w:b w:val="0"/>
                <w:i w:val="0"/>
                <w:color w:val="1A1A1A"/>
                <w:sz w:val="17"/>
              </w:rPr>
              <w:t>Material, das Lieferanten zurücklassen</w:t>
            </w:r>
          </w:p>
        </w:tc>
        <w:tc>
          <w:tcPr>
            <w:tcW w:type="dxa" w:w="2721"/>
            <w:shd w:val="clear" w:color="auto" w:fill="F3EFE6"/>
          </w:tcPr>
          <w:p>
            <w:pPr>
              <w:spacing w:after="0" w:before="0"/>
            </w:pPr>
            <w:r/>
            <w:r>
              <w:rPr>
                <w:b w:val="0"/>
                <w:i w:val="0"/>
                <w:color w:val="1A1A1A"/>
                <w:sz w:val="17"/>
              </w:rPr>
              <w:t>getrennte Sammlung durch Erzeuger und Besitzer (§ 3 GewAbfV)</w:t>
            </w:r>
          </w:p>
        </w:tc>
        <w:tc>
          <w:tcPr>
            <w:tcW w:type="dxa" w:w="2721"/>
            <w:shd w:val="clear" w:color="auto" w:fill="F3EFE6"/>
          </w:tcPr>
          <w:p>
            <w:pPr>
              <w:spacing w:after="0" w:before="0"/>
            </w:pPr>
            <w:r/>
            <w:r>
              <w:rPr>
                <w:b w:val="0"/>
                <w:i w:val="0"/>
                <w:color w:val="1A1A1A"/>
                <w:sz w:val="17"/>
              </w:rPr>
              <w:t>getrennte Bereitstellung biogener Abfälle (BGBl. Nr. 68/1992)</w:t>
            </w:r>
          </w:p>
        </w:tc>
        <w:tc>
          <w:tcPr>
            <w:tcW w:type="dxa" w:w="2721"/>
            <w:shd w:val="clear" w:color="auto" w:fill="F3EFE6"/>
          </w:tcPr>
          <w:p>
            <w:pPr>
              <w:spacing w:after="0" w:before="0"/>
            </w:pPr>
            <w:r/>
            <w:r>
              <w:rPr>
                <w:b w:val="0"/>
                <w:i w:val="0"/>
                <w:color w:val="1A1A1A"/>
                <w:sz w:val="17"/>
              </w:rPr>
              <w:t>kantonales und kommunales Abfallrecht</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2.8.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2.8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2.8 — Lieferanten nach Nachhaltigkeitskriterien auswählen und führen, ohne kleine Betriebe zu überfordern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