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2.9</w:t>
      </w:r>
    </w:p>
    <w:p>
      <w:pPr>
        <w:pStyle w:val="Heading1"/>
      </w:pPr>
      <w:r>
        <w:t>Kommunikation für Veranstaltungen als Prozess einrichten</w:t>
      </w:r>
    </w:p>
    <w:p>
      <w:pPr>
        <w:spacing w:after="0"/>
      </w:pPr>
      <w:r>
        <w:rPr>
          <w:b w:val="0"/>
          <w:i/>
          <w:color w:val="5A5A5A"/>
        </w:rPr>
        <w:t>Abschnitt 2.9 · Interne und externe Kommunikation</w:t>
      </w:r>
    </w:p>
    <w:p>
      <w:pPr>
        <w:spacing w:after="160"/>
      </w:pPr>
      <w:r>
        <w:rPr>
          <w:b w:val="0"/>
          <w:i w:val="0"/>
          <w:color w:val="5A5A5A"/>
          <w:sz w:val="18"/>
        </w:rPr>
        <w:t>Modellfall im Buch: Chur</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ein Gast an Ihrem Buffet fragt, was mit den Resten geschieht: Gibt Ihre Aushilfe dieselbe Antwort wie Ihre Website? Und wer in Ihrem Haus hat den Satz auf der Website freigegeben, bevor er online ging?</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Kommunikationsplan für eine Tagung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Zeitpunkt</w:t>
            </w:r>
          </w:p>
        </w:tc>
        <w:tc>
          <w:tcPr>
            <w:tcW w:type="dxa" w:w="3213"/>
            <w:shd w:val="clear" w:color="auto" w:fill="8C5A2B"/>
          </w:tcPr>
          <w:p>
            <w:pPr>
              <w:spacing w:after="0" w:before="0"/>
            </w:pPr>
            <w:r/>
            <w:r>
              <w:rPr>
                <w:b/>
                <w:i w:val="0"/>
                <w:color w:val="FFFFFF"/>
                <w:sz w:val="18"/>
              </w:rPr>
              <w:t>An wen, was</w:t>
            </w:r>
          </w:p>
        </w:tc>
        <w:tc>
          <w:tcPr>
            <w:tcW w:type="dxa" w:w="3213"/>
            <w:shd w:val="clear" w:color="auto" w:fill="8C5A2B"/>
          </w:tcPr>
          <w:p>
            <w:pPr>
              <w:spacing w:after="0" w:before="0"/>
            </w:pPr>
            <w:r/>
            <w:r>
              <w:rPr>
                <w:b/>
                <w:i w:val="0"/>
                <w:color w:val="FFFFFF"/>
                <w:sz w:val="18"/>
              </w:rPr>
              <w:t>Wer erstellt, wer gibt frei</w:t>
            </w:r>
          </w:p>
        </w:tc>
      </w:tr>
      <w:tr>
        <w:trPr>
          <w:cantSplit w:val="true"/>
        </w:trPr>
        <w:tc>
          <w:tcPr>
            <w:tcW w:type="dxa" w:w="3213"/>
          </w:tcPr>
          <w:p>
            <w:pPr>
              <w:spacing w:after="0" w:before="0"/>
            </w:pPr>
            <w:r/>
            <w:r>
              <w:rPr>
                <w:b w:val="0"/>
                <w:i w:val="0"/>
                <w:color w:val="1A1A1A"/>
                <w:sz w:val="18"/>
              </w:rPr>
              <w:t>Buchung</w:t>
            </w:r>
          </w:p>
        </w:tc>
        <w:tc>
          <w:tcPr>
            <w:tcW w:type="dxa" w:w="3213"/>
          </w:tcPr>
          <w:p>
            <w:pPr>
              <w:spacing w:after="0" w:before="0"/>
            </w:pPr>
            <w:r/>
            <w:r>
              <w:rPr>
                <w:b w:val="0"/>
                <w:i w:val="0"/>
                <w:color w:val="1A1A1A"/>
                <w:sz w:val="18"/>
              </w:rPr>
              <w:t>Kunde: Rolle des Hauses, Faktenblatt, Kennzahlen nach dem Anlass</w:t>
            </w:r>
          </w:p>
        </w:tc>
        <w:tc>
          <w:tcPr>
            <w:tcW w:type="dxa" w:w="3213"/>
          </w:tcPr>
          <w:p>
            <w:pPr>
              <w:spacing w:after="0" w:before="0"/>
            </w:pPr>
            <w:r/>
            <w:r>
              <w:rPr>
                <w:b w:val="0"/>
                <w:i w:val="0"/>
                <w:color w:val="1A1A1A"/>
                <w:sz w:val="18"/>
              </w:rPr>
              <w:t>Bankettchef; Faktenblatt von der Direktion freigegeben</w:t>
            </w:r>
          </w:p>
        </w:tc>
      </w:tr>
      <w:tr>
        <w:trPr>
          <w:cantSplit w:val="true"/>
        </w:trPr>
        <w:tc>
          <w:tcPr>
            <w:tcW w:type="dxa" w:w="3213"/>
            <w:shd w:val="clear" w:color="auto" w:fill="F3EFE6"/>
          </w:tcPr>
          <w:p>
            <w:pPr>
              <w:spacing w:after="0" w:before="0"/>
            </w:pPr>
            <w:r/>
            <w:r>
              <w:rPr>
                <w:b w:val="0"/>
                <w:i w:val="0"/>
                <w:color w:val="1A1A1A"/>
                <w:sz w:val="18"/>
              </w:rPr>
              <w:t>Sechs Wochen vorher</w:t>
            </w:r>
          </w:p>
        </w:tc>
        <w:tc>
          <w:tcPr>
            <w:tcW w:type="dxa" w:w="3213"/>
            <w:shd w:val="clear" w:color="auto" w:fill="F3EFE6"/>
          </w:tcPr>
          <w:p>
            <w:pPr>
              <w:spacing w:after="0" w:before="0"/>
            </w:pPr>
            <w:r/>
            <w:r>
              <w:rPr>
                <w:b w:val="0"/>
                <w:i w:val="0"/>
                <w:color w:val="1A1A1A"/>
                <w:sz w:val="18"/>
              </w:rPr>
              <w:t>Teilnehmende über den Kunden: Anreise, stufenloser Zugang in Worten, Ansprechperson, Formate auf Anfrage</w:t>
            </w:r>
          </w:p>
        </w:tc>
        <w:tc>
          <w:tcPr>
            <w:tcW w:type="dxa" w:w="3213"/>
            <w:shd w:val="clear" w:color="auto" w:fill="F3EFE6"/>
          </w:tcPr>
          <w:p>
            <w:pPr>
              <w:spacing w:after="0" w:before="0"/>
            </w:pPr>
            <w:r/>
            <w:r>
              <w:rPr>
                <w:b w:val="0"/>
                <w:i w:val="0"/>
                <w:color w:val="1A1A1A"/>
                <w:sz w:val="18"/>
              </w:rPr>
              <w:t>Marketing; Freigabe Bankettchef; Weg mit dem Kunden vereinbart</w:t>
            </w:r>
          </w:p>
        </w:tc>
      </w:tr>
      <w:tr>
        <w:trPr>
          <w:cantSplit w:val="true"/>
        </w:trPr>
        <w:tc>
          <w:tcPr>
            <w:tcW w:type="dxa" w:w="3213"/>
          </w:tcPr>
          <w:p>
            <w:pPr>
              <w:spacing w:after="0" w:before="0"/>
            </w:pPr>
            <w:r/>
            <w:r>
              <w:rPr>
                <w:b w:val="0"/>
                <w:i w:val="0"/>
                <w:color w:val="1A1A1A"/>
                <w:sz w:val="18"/>
              </w:rPr>
              <w:t>Vor jedem Einsatz</w:t>
            </w:r>
          </w:p>
        </w:tc>
        <w:tc>
          <w:tcPr>
            <w:tcW w:type="dxa" w:w="3213"/>
          </w:tcPr>
          <w:p>
            <w:pPr>
              <w:spacing w:after="0" w:before="0"/>
            </w:pPr>
            <w:r/>
            <w:r>
              <w:rPr>
                <w:b w:val="0"/>
                <w:i w:val="0"/>
                <w:color w:val="1A1A1A"/>
                <w:sz w:val="18"/>
              </w:rPr>
              <w:t>Mitarbeitende und Aushilfen: Kurzinfo zu Resten, Trennung, Zugang, Rückfragen</w:t>
            </w:r>
          </w:p>
        </w:tc>
        <w:tc>
          <w:tcPr>
            <w:tcW w:type="dxa" w:w="3213"/>
          </w:tcPr>
          <w:p>
            <w:pPr>
              <w:spacing w:after="0" w:before="0"/>
            </w:pPr>
            <w:r/>
            <w:r>
              <w:rPr>
                <w:b w:val="0"/>
                <w:i w:val="0"/>
                <w:color w:val="1A1A1A"/>
                <w:sz w:val="18"/>
              </w:rPr>
              <w:t>Bankettchef, zehn Minuten im Briefing</w:t>
            </w:r>
          </w:p>
        </w:tc>
      </w:tr>
      <w:tr>
        <w:trPr>
          <w:cantSplit w:val="true"/>
        </w:trPr>
        <w:tc>
          <w:tcPr>
            <w:tcW w:type="dxa" w:w="3213"/>
            <w:shd w:val="clear" w:color="auto" w:fill="F3EFE6"/>
          </w:tcPr>
          <w:p>
            <w:pPr>
              <w:spacing w:after="0" w:before="0"/>
            </w:pPr>
            <w:r/>
            <w:r>
              <w:rPr>
                <w:b w:val="0"/>
                <w:i w:val="0"/>
                <w:color w:val="1A1A1A"/>
                <w:sz w:val="18"/>
              </w:rPr>
              <w:t>Vor dem Anlass</w:t>
            </w:r>
          </w:p>
        </w:tc>
        <w:tc>
          <w:tcPr>
            <w:tcW w:type="dxa" w:w="3213"/>
            <w:shd w:val="clear" w:color="auto" w:fill="F3EFE6"/>
          </w:tcPr>
          <w:p>
            <w:pPr>
              <w:spacing w:after="0" w:before="0"/>
            </w:pPr>
            <w:r/>
            <w:r>
              <w:rPr>
                <w:b w:val="0"/>
                <w:i w:val="0"/>
                <w:color w:val="1A1A1A"/>
                <w:sz w:val="18"/>
              </w:rPr>
              <w:t>Lieferanten: Kriterien, Endzeiten, Ansprechperson (2.7, 2.8)</w:t>
            </w:r>
          </w:p>
        </w:tc>
        <w:tc>
          <w:tcPr>
            <w:tcW w:type="dxa" w:w="3213"/>
            <w:shd w:val="clear" w:color="auto" w:fill="F3EFE6"/>
          </w:tcPr>
          <w:p>
            <w:pPr>
              <w:spacing w:after="0" w:before="0"/>
            </w:pPr>
            <w:r/>
            <w:r>
              <w:rPr>
                <w:b w:val="0"/>
                <w:i w:val="0"/>
                <w:color w:val="1A1A1A"/>
                <w:sz w:val="18"/>
              </w:rPr>
              <w:t>Bankettchef</w:t>
            </w:r>
          </w:p>
        </w:tc>
      </w:tr>
      <w:tr>
        <w:trPr>
          <w:cantSplit w:val="true"/>
        </w:trPr>
        <w:tc>
          <w:tcPr>
            <w:tcW w:type="dxa" w:w="3213"/>
          </w:tcPr>
          <w:p>
            <w:pPr>
              <w:spacing w:after="0" w:before="0"/>
            </w:pPr>
            <w:r/>
            <w:r>
              <w:rPr>
                <w:b w:val="0"/>
                <w:i w:val="0"/>
                <w:color w:val="1A1A1A"/>
                <w:sz w:val="18"/>
              </w:rPr>
              <w:t>Während des Anlasses</w:t>
            </w:r>
          </w:p>
        </w:tc>
        <w:tc>
          <w:tcPr>
            <w:tcW w:type="dxa" w:w="3213"/>
          </w:tcPr>
          <w:p>
            <w:pPr>
              <w:spacing w:after="0" w:before="0"/>
            </w:pPr>
            <w:r/>
            <w:r>
              <w:rPr>
                <w:b w:val="0"/>
                <w:i w:val="0"/>
                <w:color w:val="1A1A1A"/>
                <w:sz w:val="18"/>
              </w:rPr>
              <w:t>Gäste: Beschilderung, Antworten, Weg für Rückmeldungen</w:t>
            </w:r>
          </w:p>
        </w:tc>
        <w:tc>
          <w:tcPr>
            <w:tcW w:type="dxa" w:w="3213"/>
          </w:tcPr>
          <w:p>
            <w:pPr>
              <w:spacing w:after="0" w:before="0"/>
            </w:pPr>
            <w:r/>
            <w:r>
              <w:rPr>
                <w:b w:val="0"/>
                <w:i w:val="0"/>
                <w:color w:val="1A1A1A"/>
                <w:sz w:val="18"/>
              </w:rPr>
              <w:t>Bankettchef, Empfang</w:t>
            </w:r>
          </w:p>
        </w:tc>
      </w:tr>
      <w:tr>
        <w:trPr>
          <w:cantSplit w:val="true"/>
        </w:trPr>
        <w:tc>
          <w:tcPr>
            <w:tcW w:type="dxa" w:w="3213"/>
            <w:shd w:val="clear" w:color="auto" w:fill="F3EFE6"/>
          </w:tcPr>
          <w:p>
            <w:pPr>
              <w:spacing w:after="0" w:before="0"/>
            </w:pPr>
            <w:r/>
            <w:r>
              <w:rPr>
                <w:b w:val="0"/>
                <w:i w:val="0"/>
                <w:color w:val="1A1A1A"/>
                <w:sz w:val="18"/>
              </w:rPr>
              <w:t>Nach dem Anlass</w:t>
            </w:r>
          </w:p>
        </w:tc>
        <w:tc>
          <w:tcPr>
            <w:tcW w:type="dxa" w:w="3213"/>
            <w:shd w:val="clear" w:color="auto" w:fill="F3EFE6"/>
          </w:tcPr>
          <w:p>
            <w:pPr>
              <w:spacing w:after="0" w:before="0"/>
            </w:pPr>
            <w:r/>
            <w:r>
              <w:rPr>
                <w:b w:val="0"/>
                <w:i w:val="0"/>
                <w:color w:val="1A1A1A"/>
                <w:sz w:val="18"/>
              </w:rPr>
              <w:t>Kunde: vereinbarte Kennzahlen, Vorfälle, Lehren (1.10)</w:t>
            </w:r>
          </w:p>
        </w:tc>
        <w:tc>
          <w:tcPr>
            <w:tcW w:type="dxa" w:w="3213"/>
            <w:shd w:val="clear" w:color="auto" w:fill="F3EFE6"/>
          </w:tcPr>
          <w:p>
            <w:pPr>
              <w:spacing w:after="0" w:before="0"/>
            </w:pPr>
            <w:r/>
            <w:r>
              <w:rPr>
                <w:b w:val="0"/>
                <w:i w:val="0"/>
                <w:color w:val="1A1A1A"/>
                <w:sz w:val="18"/>
              </w:rPr>
              <w:t>Bankettchef; Freigabe Direktion</w:t>
            </w:r>
          </w:p>
        </w:tc>
      </w:tr>
      <w:tr>
        <w:trPr>
          <w:cantSplit w:val="true"/>
        </w:trPr>
        <w:tc>
          <w:tcPr>
            <w:tcW w:type="dxa" w:w="3213"/>
          </w:tcPr>
          <w:p>
            <w:pPr>
              <w:spacing w:after="0" w:before="0"/>
            </w:pPr>
            <w:r/>
            <w:r>
              <w:rPr>
                <w:b w:val="0"/>
                <w:i w:val="0"/>
                <w:color w:val="1A1A1A"/>
                <w:sz w:val="18"/>
              </w:rPr>
              <w:t>Laufend</w:t>
            </w:r>
          </w:p>
        </w:tc>
        <w:tc>
          <w:tcPr>
            <w:tcW w:type="dxa" w:w="3213"/>
          </w:tcPr>
          <w:p>
            <w:pPr>
              <w:spacing w:after="0" w:before="0"/>
            </w:pPr>
            <w:r/>
            <w:r>
              <w:rPr>
                <w:b w:val="0"/>
                <w:i w:val="0"/>
                <w:color w:val="1A1A1A"/>
                <w:sz w:val="18"/>
              </w:rPr>
              <w:t>Website, Angebote, soziale Medien: nur Aussagen aus dem Faktenblatt</w:t>
            </w:r>
          </w:p>
        </w:tc>
        <w:tc>
          <w:tcPr>
            <w:tcW w:type="dxa" w:w="3213"/>
          </w:tcPr>
          <w:p>
            <w:pPr>
              <w:spacing w:after="0" w:before="0"/>
            </w:pPr>
            <w:r/>
            <w:r>
              <w:rPr>
                <w:b w:val="0"/>
                <w:i w:val="0"/>
                <w:color w:val="1A1A1A"/>
                <w:sz w:val="18"/>
              </w:rPr>
              <w:t>Marketing; Freigabe durch eine zweite Person</w:t>
            </w:r>
          </w:p>
        </w:tc>
      </w:tr>
    </w:tbl>
    <w:p>
      <w:pPr>
        <w:spacing w:after="40"/>
      </w:pPr>
    </w:p>
    <w:p>
      <w:pPr>
        <w:pStyle w:val="Heading2"/>
      </w:pPr>
      <w:r>
        <w:t>Praktische Anwendung: Kommunikation für Veranstaltungen als Prozess einrichten in sieben Schritten</w:t>
      </w:r>
    </w:p>
    <w:p>
      <w:pPr>
        <w:tabs>
          <w:tab w:pos="340" w:val="left"/>
        </w:tabs>
        <w:ind w:left="340" w:hanging="340"/>
      </w:pPr>
      <w:r>
        <w:rPr>
          <w:b/>
          <w:color w:val="8C5A2B"/>
        </w:rPr>
        <w:t>1.</w:t>
        <w:tab/>
      </w:r>
      <w:r>
        <w:rPr>
          <w:b/>
        </w:rPr>
        <w:t>Das Faktenblatt anlegen.</w:t>
      </w:r>
      <w:r>
        <w:t xml:space="preserve"> Jede Aussage, die das Haus über seine Leistungen macht, mit Beleg, Stand und verantwortlicher Person. Was keinen Beleg hat, kommt nicht hinein (1.1).</w:t>
      </w:r>
    </w:p>
    <w:p>
      <w:pPr>
        <w:tabs>
          <w:tab w:pos="340" w:val="left"/>
        </w:tabs>
        <w:ind w:left="340" w:hanging="340"/>
      </w:pPr>
      <w:r>
        <w:rPr>
          <w:b/>
          <w:color w:val="8C5A2B"/>
        </w:rPr>
        <w:t>2.</w:t>
        <w:tab/>
      </w:r>
      <w:r>
        <w:rPr>
          <w:b/>
        </w:rPr>
        <w:t>Einen Plan je Veranstaltungsart schreiben.</w:t>
      </w:r>
      <w:r>
        <w:t xml:space="preserve"> Wer erfährt wann was auf welchem Weg: Kunde, Teilnehmende, Mitarbeitende, Lieferanten, Nachbarschaft. Eine Seite genügt.</w:t>
      </w:r>
    </w:p>
    <w:p>
      <w:pPr>
        <w:tabs>
          <w:tab w:pos="340" w:val="left"/>
        </w:tabs>
        <w:ind w:left="340" w:hanging="340"/>
      </w:pPr>
      <w:r>
        <w:rPr>
          <w:b/>
          <w:color w:val="8C5A2B"/>
        </w:rPr>
        <w:t>3.</w:t>
        <w:tab/>
      </w:r>
      <w:r>
        <w:rPr>
          <w:b/>
        </w:rPr>
        <w:t>Die Freigabe regeln.</w:t>
      </w:r>
      <w:r>
        <w:t xml:space="preserve"> Wer schreibt, prüft nicht selbst. Die zweite Person vergleicht mit dem Faktenblatt. Für Klima- und Umweltaussagen wird die Grundlage dem Text beigelegt.</w:t>
      </w:r>
    </w:p>
    <w:p>
      <w:pPr>
        <w:tabs>
          <w:tab w:pos="340" w:val="left"/>
        </w:tabs>
        <w:ind w:left="340" w:hanging="340"/>
      </w:pPr>
      <w:r>
        <w:rPr>
          <w:b/>
          <w:color w:val="8C5A2B"/>
        </w:rPr>
        <w:t>4.</w:t>
        <w:tab/>
      </w:r>
      <w:r>
        <w:rPr>
          <w:b/>
        </w:rPr>
        <w:t>Die Information für alle lesbar machen.</w:t>
      </w:r>
      <w:r>
        <w:t xml:space="preserve"> Text statt Bild, Lageplan in Worten beschrieben, stufenloser Zugang mit Weg, eine Telefonnummer mit einer Person. Die Website nach ISO/IEC 40500 ist Anleitung, kein Muss.</w:t>
      </w:r>
    </w:p>
    <w:p>
      <w:pPr>
        <w:tabs>
          <w:tab w:pos="340" w:val="left"/>
        </w:tabs>
        <w:ind w:left="340" w:hanging="340"/>
      </w:pPr>
      <w:r>
        <w:rPr>
          <w:b/>
          <w:color w:val="8C5A2B"/>
        </w:rPr>
        <w:t>5.</w:t>
        <w:tab/>
      </w:r>
      <w:r>
        <w:rPr>
          <w:b/>
        </w:rPr>
        <w:t>Die Mitarbeitenden einbeziehen.</w:t>
      </w:r>
      <w:r>
        <w:t xml:space="preserve"> Eine Kurzinfo mit drei oder vier Sätzen zu Resten, Trennung, Zugang und Anreise, vor jedem Einsatz zehn Minuten, auch für Aushilfen. «Ich frage nach» ist eine gute Antwort.</w:t>
      </w:r>
    </w:p>
    <w:p>
      <w:pPr>
        <w:tabs>
          <w:tab w:pos="340" w:val="left"/>
        </w:tabs>
        <w:ind w:left="340" w:hanging="340"/>
      </w:pPr>
      <w:r>
        <w:rPr>
          <w:b/>
          <w:color w:val="8C5A2B"/>
        </w:rPr>
        <w:t>6.</w:t>
        <w:tab/>
      </w:r>
      <w:r>
        <w:rPr>
          <w:b/>
        </w:rPr>
        <w:t>Die Wege mit dem Kunden vereinbaren.</w:t>
      </w:r>
      <w:r>
        <w:t xml:space="preserve"> Der Kunde kennt seine Teilnehmenden. Gemeinsam wird festgelegt, welche Formate nötig sind und wer was verschickt.</w:t>
      </w:r>
    </w:p>
    <w:p>
      <w:pPr>
        <w:tabs>
          <w:tab w:pos="340" w:val="left"/>
        </w:tabs>
        <w:ind w:left="340" w:hanging="340"/>
      </w:pPr>
      <w:r>
        <w:rPr>
          <w:b/>
          <w:color w:val="8C5A2B"/>
        </w:rPr>
        <w:t>7.</w:t>
        <w:tab/>
      </w:r>
      <w:r>
        <w:rPr>
          <w:b/>
        </w:rPr>
        <w:t>Rückmeldungen auffangen.</w:t>
      </w:r>
      <w:r>
        <w:t xml:space="preserve"> Nach jedem grösseren Anlass fragt das Haus den Kunden, was angekommen ist. Die Antworten gehen in das Faktenblatt und in die Auswertung (2.11).</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Faktenblatt anlegen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Einen Plan je Veranstaltungsart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Freigabe regeln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Information für alle lesbar machen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Mitarbeitenden einbeziehen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Wege mit dem Kunden vereinbaren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Rückmeldungen auffangen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Gibt es ein Faktenblatt mit allen Aussagen des Hauses, ihren Belegen und ihrem Stand?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Prüft eine zweite Person jeden Text, bevor er nach aussen geht?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Können wir für jede Klimaaussage die Grundlage vorlegen?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unsere Anreiseinformation für einen Bildschirmleser lesbar?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Beschreibt sie den stufenlosen Zugang in Worten?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Wissen auch Aushilfen, was sie Gästen zu Resten, Abfall und Zugang sagen?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Klären wir mit dem Kunden, wie seine Teilnehmenden am besten erreicht werden?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Fragen wir nach dem Anlass nach, was angekommen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Texte aus den Seiten anderer Häuser übernehmen.</w:t>
      </w:r>
      <w:r>
        <w:t xml:space="preserve"> Deren Aussagen haben deren Belege, nicht die eigenen.</w:t>
      </w:r>
    </w:p>
    <w:p>
      <w:pPr>
        <w:tabs>
          <w:tab w:pos="340" w:val="left"/>
        </w:tabs>
        <w:ind w:left="340" w:hanging="340"/>
      </w:pPr>
      <w:r>
        <w:rPr>
          <w:color w:val="8C5A2B"/>
        </w:rPr>
        <w:t>–</w:t>
        <w:tab/>
      </w:r>
      <w:r>
        <w:rPr>
          <w:b/>
        </w:rPr>
        <w:t>Ein Wort für eine Eigenschaft wählen, die nur zum Teil stimmt.</w:t>
      </w:r>
      <w:r>
        <w:t xml:space="preserve"> «Barrierefrei» führt genau die Menschen in die Irre, für die es geschrieben ist.</w:t>
      </w:r>
    </w:p>
    <w:p>
      <w:pPr>
        <w:tabs>
          <w:tab w:pos="340" w:val="left"/>
        </w:tabs>
        <w:ind w:left="340" w:hanging="340"/>
      </w:pPr>
      <w:r>
        <w:rPr>
          <w:color w:val="8C5A2B"/>
        </w:rPr>
        <w:t>–</w:t>
        <w:tab/>
      </w:r>
      <w:r>
        <w:rPr>
          <w:b/>
        </w:rPr>
        <w:t>Information als Bild verschicken.</w:t>
      </w:r>
      <w:r>
        <w:t xml:space="preserve"> Für einen Bildschirmleser ist sie dann leer.</w:t>
      </w:r>
    </w:p>
    <w:p>
      <w:pPr>
        <w:tabs>
          <w:tab w:pos="340" w:val="left"/>
        </w:tabs>
        <w:ind w:left="340" w:hanging="340"/>
      </w:pPr>
      <w:r>
        <w:rPr>
          <w:color w:val="8C5A2B"/>
        </w:rPr>
        <w:t>–</w:t>
        <w:tab/>
      </w:r>
      <w:r>
        <w:rPr>
          <w:b/>
        </w:rPr>
        <w:t>Die Aushilfen vergessen.</w:t>
      </w:r>
      <w:r>
        <w:t xml:space="preserve"> Am Buffet ist ihre Antwort die Antwort des Hauses.</w:t>
      </w:r>
    </w:p>
    <w:p>
      <w:pPr>
        <w:tabs>
          <w:tab w:pos="340" w:val="left"/>
        </w:tabs>
        <w:ind w:left="340" w:hanging="340"/>
      </w:pPr>
      <w:r>
        <w:rPr>
          <w:color w:val="8C5A2B"/>
        </w:rPr>
        <w:t>–</w:t>
        <w:tab/>
      </w:r>
      <w:r>
        <w:rPr>
          <w:b/>
        </w:rPr>
        <w:t>Schreiben und Prüfen in einer Hand lassen.</w:t>
      </w:r>
      <w:r>
        <w:t xml:space="preserve"> Dann prüft niemand.</w:t>
      </w:r>
    </w:p>
    <w:p>
      <w:pPr>
        <w:tabs>
          <w:tab w:pos="340" w:val="left"/>
        </w:tabs>
        <w:ind w:left="340" w:hanging="340"/>
      </w:pPr>
      <w:r>
        <w:rPr>
          <w:color w:val="8C5A2B"/>
        </w:rPr>
        <w:t>–</w:t>
        <w:tab/>
      </w:r>
      <w:r>
        <w:rPr>
          <w:b/>
        </w:rPr>
        <w:t>Ein Vorhaben als Stand ausgeben.</w:t>
      </w:r>
      <w:r>
        <w:t xml:space="preserve"> Wer ein System aufbaut, sagt das so.</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Tagungspauschalen: 220 × CHF 135</w:t>
            </w:r>
          </w:p>
        </w:tc>
        <w:tc>
          <w:tcPr>
            <w:tcW w:type="dxa" w:w="1474"/>
          </w:tcPr>
          <w:p>
            <w:pPr>
              <w:spacing w:after="0" w:before="0"/>
            </w:pPr>
            <w:r/>
            <w:r>
              <w:rPr>
                <w:b w:val="0"/>
                <w:i w:val="0"/>
                <w:color w:val="1A1A1A"/>
                <w:sz w:val="18"/>
              </w:rPr>
              <w:t>CHF 29.700</w:t>
            </w:r>
          </w:p>
        </w:tc>
        <w:tc>
          <w:tcPr>
            <w:tcW w:type="dxa" w:w="3175"/>
          </w:tcPr>
          <w:p>
            <w:pPr>
              <w:spacing w:after="0" w:before="0"/>
            </w:pPr>
            <w:r/>
            <w:r>
              <w:rPr>
                <w:b w:val="0"/>
                <w:i w:val="0"/>
                <w:color w:val="1A1A1A"/>
                <w:sz w:val="18"/>
              </w:rPr>
              <w:t>ein Tag mit Mittagsbuffet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Abendessen: 180 × CHF 85</w:t>
            </w:r>
          </w:p>
        </w:tc>
        <w:tc>
          <w:tcPr>
            <w:tcW w:type="dxa" w:w="1474"/>
            <w:shd w:val="clear" w:color="auto" w:fill="F3EFE6"/>
          </w:tcPr>
          <w:p>
            <w:pPr>
              <w:spacing w:after="0" w:before="0"/>
            </w:pPr>
            <w:r/>
            <w:r>
              <w:rPr>
                <w:b w:val="0"/>
                <w:i w:val="0"/>
                <w:color w:val="1A1A1A"/>
                <w:sz w:val="18"/>
              </w:rPr>
              <w:t>CHF 15.300</w:t>
            </w:r>
          </w:p>
        </w:tc>
        <w:tc>
          <w:tcPr>
            <w:tcW w:type="dxa" w:w="3175"/>
            <w:shd w:val="clear" w:color="auto" w:fill="F3EFE6"/>
          </w:tcPr>
          <w:p>
            <w:pPr>
              <w:spacing w:after="0" w:before="0"/>
            </w:pPr>
            <w:r/>
            <w:r>
              <w:rPr>
                <w:b w:val="0"/>
                <w:i w:val="0"/>
                <w:color w:val="1A1A1A"/>
                <w:sz w:val="18"/>
              </w:rPr>
              <w:t>ohne Getränke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Zimmer: 60 × 1 Nacht × CHF 190</w:t>
            </w:r>
          </w:p>
        </w:tc>
        <w:tc>
          <w:tcPr>
            <w:tcW w:type="dxa" w:w="1474"/>
          </w:tcPr>
          <w:p>
            <w:pPr>
              <w:spacing w:after="0" w:before="0"/>
            </w:pPr>
            <w:r/>
            <w:r>
              <w:rPr>
                <w:b w:val="0"/>
                <w:i w:val="0"/>
                <w:color w:val="1A1A1A"/>
                <w:sz w:val="18"/>
              </w:rPr>
              <w:t>CHF 11.400</w:t>
            </w:r>
          </w:p>
        </w:tc>
        <w:tc>
          <w:tcPr>
            <w:tcW w:type="dxa" w:w="3175"/>
          </w:tcPr>
          <w:p>
            <w:pPr>
              <w:spacing w:after="0" w:before="0"/>
            </w:pPr>
            <w:r/>
            <w:r>
              <w:rPr>
                <w:b w:val="0"/>
                <w:i w:val="0"/>
                <w:color w:val="1A1A1A"/>
                <w:sz w:val="18"/>
              </w:rPr>
              <w:t>Kontingent des Verbands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Faktenblatt und Kommunikationsplan</w:t>
            </w:r>
          </w:p>
        </w:tc>
        <w:tc>
          <w:tcPr>
            <w:tcW w:type="dxa" w:w="1474"/>
            <w:shd w:val="clear" w:color="auto" w:fill="F3EFE6"/>
          </w:tcPr>
          <w:p>
            <w:pPr>
              <w:spacing w:after="0" w:before="0"/>
            </w:pPr>
            <w:r/>
            <w:r>
              <w:rPr>
                <w:b w:val="0"/>
                <w:i w:val="0"/>
                <w:color w:val="1A1A1A"/>
                <w:sz w:val="18"/>
              </w:rPr>
              <w:t>16 Stunden</w:t>
            </w:r>
          </w:p>
        </w:tc>
        <w:tc>
          <w:tcPr>
            <w:tcW w:type="dxa" w:w="3175"/>
            <w:shd w:val="clear" w:color="auto" w:fill="F3EFE6"/>
          </w:tcPr>
          <w:p>
            <w:pPr>
              <w:spacing w:after="0" w:before="0"/>
            </w:pPr>
            <w:r/>
            <w:r>
              <w:rPr>
                <w:b w:val="0"/>
                <w:i w:val="0"/>
                <w:color w:val="1A1A1A"/>
                <w:sz w:val="18"/>
              </w:rPr>
              <w:t>einmalig, Marketing und Bankett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Anreiseinformation neu, als Text, mit Wegbeschreibung</w:t>
            </w:r>
          </w:p>
        </w:tc>
        <w:tc>
          <w:tcPr>
            <w:tcW w:type="dxa" w:w="1474"/>
          </w:tcPr>
          <w:p>
            <w:pPr>
              <w:spacing w:after="0" w:before="0"/>
            </w:pPr>
            <w:r/>
            <w:r>
              <w:rPr>
                <w:b w:val="0"/>
                <w:i w:val="0"/>
                <w:color w:val="1A1A1A"/>
                <w:sz w:val="18"/>
              </w:rPr>
              <w:t>8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Freigabe durch eine zweite Person</w:t>
            </w:r>
          </w:p>
        </w:tc>
        <w:tc>
          <w:tcPr>
            <w:tcW w:type="dxa" w:w="1474"/>
            <w:shd w:val="clear" w:color="auto" w:fill="F3EFE6"/>
          </w:tcPr>
          <w:p>
            <w:pPr>
              <w:spacing w:after="0" w:before="0"/>
            </w:pPr>
            <w:r/>
            <w:r>
              <w:rPr>
                <w:b w:val="0"/>
                <w:i w:val="0"/>
                <w:color w:val="1A1A1A"/>
                <w:sz w:val="18"/>
              </w:rPr>
              <w:t>20 Minuten</w:t>
            </w:r>
          </w:p>
        </w:tc>
        <w:tc>
          <w:tcPr>
            <w:tcW w:type="dxa" w:w="3175"/>
            <w:shd w:val="clear" w:color="auto" w:fill="F3EFE6"/>
          </w:tcPr>
          <w:p>
            <w:pPr>
              <w:spacing w:after="0" w:before="0"/>
            </w:pPr>
            <w:r/>
            <w:r>
              <w:rPr>
                <w:b w:val="0"/>
                <w:i w:val="0"/>
                <w:color w:val="1A1A1A"/>
                <w:sz w:val="18"/>
              </w:rPr>
              <w:t>je Text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Briefing vor jedem Einsatz</w:t>
            </w:r>
          </w:p>
        </w:tc>
        <w:tc>
          <w:tcPr>
            <w:tcW w:type="dxa" w:w="1474"/>
          </w:tcPr>
          <w:p>
            <w:pPr>
              <w:spacing w:after="0" w:before="0"/>
            </w:pPr>
            <w:r/>
            <w:r>
              <w:rPr>
                <w:b w:val="0"/>
                <w:i w:val="0"/>
                <w:color w:val="1A1A1A"/>
                <w:sz w:val="18"/>
              </w:rPr>
              <w:t>10 Minuten</w:t>
            </w:r>
          </w:p>
        </w:tc>
        <w:tc>
          <w:tcPr>
            <w:tcW w:type="dxa" w:w="3175"/>
          </w:tcPr>
          <w:p>
            <w:pPr>
              <w:spacing w:after="0" w:before="0"/>
            </w:pPr>
            <w:r/>
            <w:r>
              <w:rPr>
                <w:b w:val="0"/>
                <w:i w:val="0"/>
                <w:color w:val="1A1A1A"/>
                <w:sz w:val="18"/>
              </w:rPr>
              <w:t>je Anlass, alle Mitarbeitenden im Service</w:t>
            </w:r>
          </w:p>
        </w:tc>
        <w:tc>
          <w:tcPr>
            <w:tcW w:type="dxa" w:w="1814"/>
          </w:tcPr>
          <w:p>
            <w:pPr>
              <w:spacing w:after="0" w:before="0"/>
            </w:pPr>
            <w:r/>
            <w:r>
              <w:rPr>
                <w:b w:val="0"/>
                <w:i w:val="0"/>
                <w:color w:val="1A1A1A"/>
                <w:sz w:val="18"/>
              </w:rPr>
            </w:r>
          </w:p>
        </w:tc>
      </w:tr>
    </w:tbl>
    <w:p>
      <w:pPr>
        <w:spacing w:after="40"/>
      </w:pPr>
    </w:p>
    <w:p>
      <w:r>
        <w:rPr>
          <w:b w:val="0"/>
          <w:i w:val="0"/>
        </w:rPr>
        <w:t>Gegen einen Anlass von CHF 56.400 stehen vierundzwanzig Stunden einmaliger Arbeit und wenige Minuten je Text und Einsatz. Was ein Verband kostet, der seinen Mitgliedern das nächste Mal ein anderes Haus empfiehlt, steht in keiner Zeile.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Festlegen, was, wann, mit wem und wie kommuniziert wird (7.4)</w:t>
            </w:r>
          </w:p>
        </w:tc>
        <w:tc>
          <w:tcPr>
            <w:tcW w:type="dxa" w:w="3175"/>
          </w:tcPr>
          <w:p>
            <w:pPr>
              <w:spacing w:after="0" w:before="0"/>
            </w:pPr>
            <w:r/>
            <w:r>
              <w:rPr>
                <w:b w:val="0"/>
                <w:i w:val="0"/>
                <w:color w:val="1A1A1A"/>
                <w:sz w:val="18"/>
              </w:rPr>
              <w:t>Kommunikationsplan je Veranstaltungsart</w:t>
            </w:r>
          </w:p>
        </w:tc>
        <w:tc>
          <w:tcPr>
            <w:tcW w:type="dxa" w:w="3175"/>
          </w:tcPr>
          <w:p>
            <w:pPr>
              <w:spacing w:after="0" w:before="0"/>
            </w:pPr>
            <w:r/>
            <w:r>
              <w:rPr>
                <w:b w:val="0"/>
                <w:i w:val="0"/>
                <w:color w:val="1A1A1A"/>
                <w:sz w:val="18"/>
              </w:rPr>
              <w:t>Methode: Faktenblatt als einzige Quelle</w:t>
            </w:r>
          </w:p>
        </w:tc>
      </w:tr>
      <w:tr>
        <w:trPr>
          <w:cantSplit w:val="true"/>
        </w:trPr>
        <w:tc>
          <w:tcPr>
            <w:tcW w:type="dxa" w:w="3288"/>
            <w:shd w:val="clear" w:color="auto" w:fill="F3EFE6"/>
          </w:tcPr>
          <w:p>
            <w:pPr>
              <w:spacing w:after="0" w:before="0"/>
            </w:pPr>
            <w:r/>
            <w:r>
              <w:rPr>
                <w:b w:val="0"/>
                <w:i w:val="0"/>
                <w:color w:val="1A1A1A"/>
                <w:sz w:val="18"/>
              </w:rPr>
              <w:t>Prozesse für externe Kommunikation mit Lieferanten und Parteien (7.4)</w:t>
            </w:r>
          </w:p>
        </w:tc>
        <w:tc>
          <w:tcPr>
            <w:tcW w:type="dxa" w:w="3175"/>
            <w:shd w:val="clear" w:color="auto" w:fill="F3EFE6"/>
          </w:tcPr>
          <w:p>
            <w:pPr>
              <w:spacing w:after="0" w:before="0"/>
            </w:pPr>
            <w:r/>
            <w:r>
              <w:rPr>
                <w:b w:val="0"/>
                <w:i w:val="0"/>
                <w:color w:val="1A1A1A"/>
                <w:sz w:val="18"/>
              </w:rPr>
              <w:t>Freigabeweg mit zwei Personen; Vereinbarung der Wege mit dem Kunden</w:t>
            </w:r>
          </w:p>
        </w:tc>
        <w:tc>
          <w:tcPr>
            <w:tcW w:type="dxa" w:w="3175"/>
            <w:shd w:val="clear" w:color="auto" w:fill="F3EFE6"/>
          </w:tcPr>
          <w:p>
            <w:pPr>
              <w:spacing w:after="0" w:before="0"/>
            </w:pPr>
            <w:r/>
            <w:r>
              <w:rPr>
                <w:b w:val="0"/>
                <w:i w:val="0"/>
                <w:color w:val="1A1A1A"/>
                <w:sz w:val="18"/>
              </w:rPr>
              <w:t>Methode: Kurzinfo für Mitarbeitende</w:t>
            </w:r>
          </w:p>
        </w:tc>
      </w:tr>
      <w:tr>
        <w:trPr>
          <w:cantSplit w:val="true"/>
        </w:trPr>
        <w:tc>
          <w:tcPr>
            <w:tcW w:type="dxa" w:w="3288"/>
          </w:tcPr>
          <w:p>
            <w:pPr>
              <w:spacing w:after="0" w:before="0"/>
            </w:pPr>
            <w:r/>
            <w:r>
              <w:rPr>
                <w:b w:val="0"/>
                <w:i w:val="0"/>
                <w:color w:val="1A1A1A"/>
                <w:sz w:val="18"/>
              </w:rPr>
              <w:t>Wirksamste Mittel gemeinsam ermitteln (7.4)</w:t>
            </w:r>
          </w:p>
        </w:tc>
        <w:tc>
          <w:tcPr>
            <w:tcW w:type="dxa" w:w="3175"/>
          </w:tcPr>
          <w:p>
            <w:pPr>
              <w:spacing w:after="0" w:before="0"/>
            </w:pPr>
            <w:r/>
            <w:r>
              <w:rPr>
                <w:b w:val="0"/>
                <w:i w:val="0"/>
                <w:color w:val="1A1A1A"/>
                <w:sz w:val="18"/>
              </w:rPr>
              <w:t>Notiz aus dem Gespräch mit dem Kunden über seine Teilnehmenden</w:t>
            </w:r>
          </w:p>
        </w:tc>
        <w:tc>
          <w:tcPr>
            <w:tcW w:type="dxa" w:w="3175"/>
          </w:tcPr>
          <w:p>
            <w:pPr>
              <w:spacing w:after="0" w:before="0"/>
            </w:pPr>
            <w:r/>
            <w:r>
              <w:rPr>
                <w:b w:val="0"/>
                <w:i w:val="0"/>
                <w:color w:val="1A1A1A"/>
                <w:sz w:val="18"/>
              </w:rPr>
              <w:t>Barrierefreie Formate (A.15)</w:t>
            </w:r>
          </w:p>
        </w:tc>
      </w:tr>
      <w:tr>
        <w:trPr>
          <w:cantSplit w:val="true"/>
        </w:trPr>
        <w:tc>
          <w:tcPr>
            <w:tcW w:type="dxa" w:w="3288"/>
            <w:shd w:val="clear" w:color="auto" w:fill="F3EFE6"/>
          </w:tcPr>
          <w:p>
            <w:pPr>
              <w:spacing w:after="0" w:before="0"/>
            </w:pPr>
            <w:r/>
            <w:r>
              <w:rPr>
                <w:b w:val="0"/>
                <w:i w:val="0"/>
                <w:color w:val="1A1A1A"/>
                <w:sz w:val="18"/>
              </w:rPr>
              <w:t>Keine irreführende Kommunikation, gleich in welchem Format (7.4)</w:t>
            </w:r>
          </w:p>
        </w:tc>
        <w:tc>
          <w:tcPr>
            <w:tcW w:type="dxa" w:w="3175"/>
            <w:shd w:val="clear" w:color="auto" w:fill="F3EFE6"/>
          </w:tcPr>
          <w:p>
            <w:pPr>
              <w:spacing w:after="0" w:before="0"/>
            </w:pPr>
            <w:r/>
            <w:r>
              <w:rPr>
                <w:b w:val="0"/>
                <w:i w:val="0"/>
                <w:color w:val="1A1A1A"/>
                <w:sz w:val="18"/>
              </w:rPr>
              <w:t>geprüfte Texte mit Beleg aus dem Faktenblatt</w:t>
            </w:r>
          </w:p>
        </w:tc>
        <w:tc>
          <w:tcPr>
            <w:tcW w:type="dxa" w:w="3175"/>
            <w:shd w:val="clear" w:color="auto" w:fill="F3EFE6"/>
          </w:tcPr>
          <w:p>
            <w:pPr>
              <w:spacing w:after="0" w:before="0"/>
            </w:pPr>
            <w:r/>
            <w:r>
              <w:rPr>
                <w:b w:val="0"/>
                <w:i w:val="0"/>
                <w:color w:val="1A1A1A"/>
                <w:sz w:val="18"/>
              </w:rPr>
              <w:t>Website nach ISO/IEC 40500 (A.15)</w:t>
            </w:r>
          </w:p>
        </w:tc>
      </w:tr>
      <w:tr>
        <w:trPr>
          <w:cantSplit w:val="true"/>
        </w:trPr>
        <w:tc>
          <w:tcPr>
            <w:tcW w:type="dxa" w:w="3288"/>
          </w:tcPr>
          <w:p>
            <w:pPr>
              <w:spacing w:after="0" w:before="0"/>
            </w:pPr>
            <w:r/>
            <w:r>
              <w:rPr>
                <w:b w:val="0"/>
                <w:i w:val="0"/>
                <w:color w:val="1A1A1A"/>
                <w:sz w:val="18"/>
              </w:rPr>
              <w:t>Anwendungsbereich sachlich und ohne Irreführung (4.3, Anmerkung)</w:t>
            </w:r>
          </w:p>
        </w:tc>
        <w:tc>
          <w:tcPr>
            <w:tcW w:type="dxa" w:w="3175"/>
          </w:tcPr>
          <w:p>
            <w:pPr>
              <w:spacing w:after="0" w:before="0"/>
            </w:pPr>
            <w:r/>
            <w:r>
              <w:rPr>
                <w:b w:val="0"/>
                <w:i w:val="0"/>
                <w:color w:val="1A1A1A"/>
                <w:sz w:val="18"/>
              </w:rPr>
              <w:t>Satz zum Stand des Systems auf Website und in Angeboten</w:t>
            </w:r>
          </w:p>
        </w:tc>
        <w:tc>
          <w:tcPr>
            <w:tcW w:type="dxa" w:w="3175"/>
          </w:tcPr>
          <w:p>
            <w:pPr>
              <w:spacing w:after="0" w:before="0"/>
            </w:pPr>
            <w:r/>
            <w:r>
              <w:rPr>
                <w:b w:val="0"/>
                <w:i w:val="0"/>
                <w:color w:val="1A1A1A"/>
                <w:sz w:val="18"/>
              </w:rPr>
              <w:t>Bericht nach C.3</w:t>
            </w:r>
          </w:p>
        </w:tc>
      </w:tr>
    </w:tbl>
    <w:p>
      <w:pPr>
        <w:spacing w:after="40"/>
      </w:pPr>
    </w:p>
    <w:p>
      <w:pPr>
        <w:pStyle w:val="Heading2"/>
      </w:pPr>
      <w:r>
        <w:t>DACH-Anker: Aussagen und Zugang zur Information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Klimaaussagen</w:t>
            </w:r>
          </w:p>
        </w:tc>
        <w:tc>
          <w:tcPr>
            <w:tcW w:type="dxa" w:w="2721"/>
          </w:tcPr>
          <w:p>
            <w:pPr>
              <w:spacing w:after="0" w:before="0"/>
            </w:pPr>
            <w:r/>
            <w:r>
              <w:rPr>
                <w:b w:val="0"/>
                <w:i w:val="0"/>
                <w:color w:val="1A1A1A"/>
                <w:sz w:val="17"/>
              </w:rPr>
              <w:t>gegenüber Verbrauchern: klimaneutral aufgrund von Kompensation für Produkte unzulässig (Anhang zu § 3 Abs. 3 Nr. 4c UWG), ab 27. September 2026</w:t>
            </w:r>
          </w:p>
        </w:tc>
        <w:tc>
          <w:tcPr>
            <w:tcW w:type="dxa" w:w="2721"/>
          </w:tcPr>
          <w:p>
            <w:pPr>
              <w:spacing w:after="0" w:before="0"/>
            </w:pPr>
            <w:r/>
            <w:r>
              <w:rPr>
                <w:b w:val="0"/>
                <w:i w:val="0"/>
                <w:color w:val="1A1A1A"/>
                <w:sz w:val="17"/>
              </w:rPr>
              <w:t>ebenso gegenüber Verbrauchern, UWG-Novelle BGBl. I Nr. 58/2026, ab 27. September 2026</w:t>
            </w:r>
          </w:p>
        </w:tc>
        <w:tc>
          <w:tcPr>
            <w:tcW w:type="dxa" w:w="2721"/>
          </w:tcPr>
          <w:p>
            <w:pPr>
              <w:spacing w:after="0" w:before="0"/>
            </w:pPr>
            <w:r/>
            <w:r>
              <w:rPr>
                <w:b w:val="0"/>
                <w:i w:val="0"/>
                <w:color w:val="1A1A1A"/>
                <w:sz w:val="17"/>
              </w:rPr>
              <w:t>Angaben über die Klimawirkung nur mit objektiven und überprüfbaren Grundlagen (Art. 3 Abs. 1 lit. x UWG), seit 1. Januar 2025</w:t>
            </w:r>
          </w:p>
        </w:tc>
      </w:tr>
      <w:tr>
        <w:trPr>
          <w:cantSplit w:val="true"/>
        </w:trPr>
        <w:tc>
          <w:tcPr>
            <w:tcW w:type="dxa" w:w="1474"/>
            <w:shd w:val="clear" w:color="auto" w:fill="F3EFE6"/>
          </w:tcPr>
          <w:p>
            <w:pPr>
              <w:spacing w:after="0" w:before="0"/>
            </w:pPr>
            <w:r/>
            <w:r>
              <w:rPr>
                <w:b w:val="0"/>
                <w:i w:val="0"/>
                <w:color w:val="1A1A1A"/>
                <w:sz w:val="17"/>
              </w:rPr>
              <w:t>Allgemeine Umweltaussagen</w:t>
            </w:r>
          </w:p>
        </w:tc>
        <w:tc>
          <w:tcPr>
            <w:tcW w:type="dxa" w:w="2721"/>
            <w:shd w:val="clear" w:color="auto" w:fill="F3EFE6"/>
          </w:tcPr>
          <w:p>
            <w:pPr>
              <w:spacing w:after="0" w:before="0"/>
            </w:pPr>
            <w:r/>
            <w:r>
              <w:rPr>
                <w:b w:val="0"/>
                <w:i w:val="0"/>
                <w:color w:val="1A1A1A"/>
                <w:sz w:val="17"/>
              </w:rPr>
              <w:t>gegenüber Verbrauchern nur bei anerkannter hervorragender Umweltleistung (Nr. 4a); Ganzes für einen Teil unzulässig (Nr. 4b)</w:t>
            </w:r>
          </w:p>
        </w:tc>
        <w:tc>
          <w:tcPr>
            <w:tcW w:type="dxa" w:w="2721"/>
            <w:shd w:val="clear" w:color="auto" w:fill="F3EFE6"/>
          </w:tcPr>
          <w:p>
            <w:pPr>
              <w:spacing w:after="0" w:before="0"/>
            </w:pPr>
            <w:r/>
            <w:r>
              <w:rPr>
                <w:b w:val="0"/>
                <w:i w:val="0"/>
                <w:color w:val="1A1A1A"/>
                <w:sz w:val="17"/>
              </w:rPr>
              <w:t>ebenso gegenüber Verbrauchern</w:t>
            </w:r>
          </w:p>
        </w:tc>
        <w:tc>
          <w:tcPr>
            <w:tcW w:type="dxa" w:w="2721"/>
            <w:shd w:val="clear" w:color="auto" w:fill="F3EFE6"/>
          </w:tcPr>
          <w:p>
            <w:pPr>
              <w:spacing w:after="0" w:before="0"/>
            </w:pPr>
            <w:r/>
            <w:r>
              <w:rPr>
                <w:b w:val="0"/>
                <w:i w:val="0"/>
                <w:color w:val="1A1A1A"/>
                <w:sz w:val="17"/>
              </w:rPr>
              <w:t>Verbot irreführender Angaben (Art. 3 Abs. 1 lit. b UWG); Grundsätze der Lauterkeitskommission</w:t>
            </w:r>
          </w:p>
        </w:tc>
      </w:tr>
      <w:tr>
        <w:trPr>
          <w:cantSplit w:val="true"/>
        </w:trPr>
        <w:tc>
          <w:tcPr>
            <w:tcW w:type="dxa" w:w="1474"/>
          </w:tcPr>
          <w:p>
            <w:pPr>
              <w:spacing w:after="0" w:before="0"/>
            </w:pPr>
            <w:r/>
            <w:r>
              <w:rPr>
                <w:b w:val="0"/>
                <w:i w:val="0"/>
                <w:color w:val="1A1A1A"/>
                <w:sz w:val="17"/>
              </w:rPr>
              <w:t>Künftige Umweltleistung</w:t>
            </w:r>
          </w:p>
        </w:tc>
        <w:tc>
          <w:tcPr>
            <w:tcW w:type="dxa" w:w="2721"/>
          </w:tcPr>
          <w:p>
            <w:pPr>
              <w:spacing w:after="0" w:before="0"/>
            </w:pPr>
            <w:r/>
            <w:r>
              <w:rPr>
                <w:b w:val="0"/>
                <w:i w:val="0"/>
                <w:color w:val="1A1A1A"/>
                <w:sz w:val="17"/>
              </w:rPr>
              <w:t>gegenüber Verbrauchern: Umsetzungsplan, messbare und zeitgebundene Ziele, unabhängige externe Überprüfung (§ 5 Abs. 3 Nr. 4 UWG)</w:t>
            </w:r>
          </w:p>
        </w:tc>
        <w:tc>
          <w:tcPr>
            <w:tcW w:type="dxa" w:w="2721"/>
          </w:tcPr>
          <w:p>
            <w:pPr>
              <w:spacing w:after="0" w:before="0"/>
            </w:pPr>
            <w:r/>
            <w:r>
              <w:rPr>
                <w:b w:val="0"/>
                <w:i w:val="0"/>
                <w:color w:val="1A1A1A"/>
                <w:sz w:val="17"/>
              </w:rPr>
              <w:t>ebenso gegenüber Verbrauchern</w:t>
            </w:r>
          </w:p>
        </w:tc>
        <w:tc>
          <w:tcPr>
            <w:tcW w:type="dxa" w:w="2721"/>
          </w:tcPr>
          <w:p>
            <w:pPr>
              <w:spacing w:after="0" w:before="0"/>
            </w:pPr>
            <w:r/>
            <w:r>
              <w:rPr>
                <w:b w:val="0"/>
                <w:i w:val="0"/>
                <w:color w:val="1A1A1A"/>
                <w:sz w:val="17"/>
              </w:rPr>
              <w:t>Verbot irreführender Angaben; bei Klimaaussagen lit. x</w:t>
            </w:r>
          </w:p>
        </w:tc>
      </w:tr>
      <w:tr>
        <w:trPr>
          <w:cantSplit w:val="true"/>
        </w:trPr>
        <w:tc>
          <w:tcPr>
            <w:tcW w:type="dxa" w:w="1474"/>
            <w:shd w:val="clear" w:color="auto" w:fill="F3EFE6"/>
          </w:tcPr>
          <w:p>
            <w:pPr>
              <w:spacing w:after="0" w:before="0"/>
            </w:pPr>
            <w:r/>
            <w:r>
              <w:rPr>
                <w:b w:val="0"/>
                <w:i w:val="0"/>
                <w:color w:val="1A1A1A"/>
                <w:sz w:val="17"/>
              </w:rPr>
              <w:t>Barrierefreiheit von Online-Diensten</w:t>
            </w:r>
          </w:p>
        </w:tc>
        <w:tc>
          <w:tcPr>
            <w:tcW w:type="dxa" w:w="2721"/>
            <w:shd w:val="clear" w:color="auto" w:fill="F3EFE6"/>
          </w:tcPr>
          <w:p>
            <w:pPr>
              <w:spacing w:after="0" w:before="0"/>
            </w:pPr>
            <w:r/>
            <w:r>
              <w:rPr>
                <w:b w:val="0"/>
                <w:i w:val="0"/>
                <w:color w:val="1A1A1A"/>
                <w:sz w:val="17"/>
              </w:rPr>
              <w:t>BFSG für Dienstleistungen im elektronischen Geschäftsverkehr seit 28. Juni 2025; Kleinstunternehmen ausgenommen</w:t>
            </w:r>
          </w:p>
        </w:tc>
        <w:tc>
          <w:tcPr>
            <w:tcW w:type="dxa" w:w="2721"/>
            <w:shd w:val="clear" w:color="auto" w:fill="F3EFE6"/>
          </w:tcPr>
          <w:p>
            <w:pPr>
              <w:spacing w:after="0" w:before="0"/>
            </w:pPr>
            <w:r/>
            <w:r>
              <w:rPr>
                <w:b w:val="0"/>
                <w:i w:val="0"/>
                <w:color w:val="1A1A1A"/>
                <w:sz w:val="17"/>
              </w:rPr>
              <w:t>BaFG seit 28. Juni 2025, nach der Wirtschaftskammer auch Buchungsmöglichkeiten von Hotels</w:t>
            </w:r>
          </w:p>
        </w:tc>
        <w:tc>
          <w:tcPr>
            <w:tcW w:type="dxa" w:w="2721"/>
            <w:shd w:val="clear" w:color="auto" w:fill="F3EFE6"/>
          </w:tcPr>
          <w:p>
            <w:pPr>
              <w:spacing w:after="0" w:before="0"/>
            </w:pPr>
            <w:r/>
            <w:r>
              <w:rPr>
                <w:b w:val="0"/>
                <w:i w:val="0"/>
                <w:color w:val="1A1A1A"/>
                <w:sz w:val="17"/>
              </w:rPr>
              <w:t>Diskriminierungsverbot für Private, die Dienstleistungen öffentlich anbieten (Art. 6 BehiG)</w:t>
            </w:r>
          </w:p>
        </w:tc>
      </w:tr>
      <w:tr>
        <w:trPr>
          <w:cantSplit w:val="true"/>
        </w:trPr>
        <w:tc>
          <w:tcPr>
            <w:tcW w:type="dxa" w:w="1474"/>
          </w:tcPr>
          <w:p>
            <w:pPr>
              <w:spacing w:after="0" w:before="0"/>
            </w:pPr>
            <w:r/>
            <w:r>
              <w:rPr>
                <w:b w:val="0"/>
                <w:i w:val="0"/>
                <w:color w:val="1A1A1A"/>
                <w:sz w:val="17"/>
              </w:rPr>
              <w:t>Teilnehmerdaten</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Datenschutzgesetz, in Kraft seit 1. September 2023</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2.9.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2.9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2.9 — Kommunikation für Veranstaltungen als Prozess einrichten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