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w:t>
      </w:r>
    </w:p>
    <w:p>
      <w:pPr>
        <w:pStyle w:val="Heading1"/>
      </w:pPr>
      <w:r>
        <w:t>Das erste interne Audit vergeben</w:t>
      </w:r>
    </w:p>
    <w:p>
      <w:pPr>
        <w:spacing w:after="0"/>
      </w:pPr>
      <w:r>
        <w:rPr>
          <w:b w:val="0"/>
          <w:i/>
          <w:color w:val="5A5A5A"/>
        </w:rPr>
        <w:t>Abschnitt 3.1 · Der interne Auditor: Rolle und Unabhängigkeit im Veranstaltungshaus</w:t>
      </w:r>
    </w:p>
    <w:p>
      <w:pPr>
        <w:spacing w:after="160"/>
      </w:pPr>
      <w:r>
        <w:rPr>
          <w:b w:val="0"/>
          <w:i w:val="0"/>
          <w:color w:val="5A5A5A"/>
          <w:sz w:val="18"/>
        </w:rPr>
        <w:t>Modellfall im Buch: Bregenz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Wer in Ihrem Haus würde das erste interne Audit Ihres Systems übernehmen, und welchen Teil dieses Systems hat diese Person selbst gebaut oder führt ihn jeden Tag? Und wem sagt sie am Ende, was sie gesehen hat: der Leitung oder sich selbst?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Berater, Kontrolleur, interner Auditor</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Rolle</w:t>
            </w:r>
          </w:p>
        </w:tc>
        <w:tc>
          <w:tcPr>
            <w:tcW w:type="dxa" w:w="3213"/>
            <w:shd w:val="clear" w:color="auto" w:fill="8C5A2B"/>
          </w:tcPr>
          <w:p>
            <w:pPr>
              <w:spacing w:after="0" w:before="0"/>
            </w:pPr>
            <w:r/>
            <w:r>
              <w:rPr>
                <w:b/>
                <w:i w:val="0"/>
                <w:color w:val="FFFFFF"/>
                <w:sz w:val="18"/>
              </w:rPr>
              <w:t>Was sie tut</w:t>
            </w:r>
          </w:p>
        </w:tc>
        <w:tc>
          <w:tcPr>
            <w:tcW w:type="dxa" w:w="3213"/>
            <w:shd w:val="clear" w:color="auto" w:fill="8C5A2B"/>
          </w:tcPr>
          <w:p>
            <w:pPr>
              <w:spacing w:after="0" w:before="0"/>
            </w:pPr>
            <w:r/>
            <w:r>
              <w:rPr>
                <w:b/>
                <w:i w:val="0"/>
                <w:color w:val="FFFFFF"/>
                <w:sz w:val="18"/>
              </w:rPr>
              <w:t>Was die Leitung davon hat</w:t>
            </w:r>
          </w:p>
        </w:tc>
      </w:tr>
      <w:tr>
        <w:trPr>
          <w:cantSplit w:val="true"/>
        </w:trPr>
        <w:tc>
          <w:tcPr>
            <w:tcW w:type="dxa" w:w="3213"/>
          </w:tcPr>
          <w:p>
            <w:pPr>
              <w:spacing w:after="0" w:before="0"/>
            </w:pPr>
            <w:r/>
            <w:r>
              <w:rPr>
                <w:b w:val="0"/>
                <w:i w:val="0"/>
                <w:color w:val="1A1A1A"/>
                <w:sz w:val="18"/>
              </w:rPr>
              <w:t>Berater</w:t>
            </w:r>
          </w:p>
        </w:tc>
        <w:tc>
          <w:tcPr>
            <w:tcW w:type="dxa" w:w="3213"/>
          </w:tcPr>
          <w:p>
            <w:pPr>
              <w:spacing w:after="0" w:before="0"/>
            </w:pPr>
            <w:r/>
            <w:r>
              <w:rPr>
                <w:b w:val="0"/>
                <w:i w:val="0"/>
                <w:color w:val="1A1A1A"/>
                <w:sz w:val="18"/>
              </w:rPr>
              <w:t>schlägt Lösungen vor, hilft beim Aufbau</w:t>
            </w:r>
          </w:p>
        </w:tc>
        <w:tc>
          <w:tcPr>
            <w:tcW w:type="dxa" w:w="3213"/>
          </w:tcPr>
          <w:p>
            <w:pPr>
              <w:spacing w:after="0" w:before="0"/>
            </w:pPr>
            <w:r/>
            <w:r>
              <w:rPr>
                <w:b w:val="0"/>
                <w:i w:val="0"/>
                <w:color w:val="1A1A1A"/>
                <w:sz w:val="18"/>
              </w:rPr>
              <w:t>ein besseres System, aber keine unabhängige Prüfung</w:t>
            </w:r>
          </w:p>
        </w:tc>
      </w:tr>
      <w:tr>
        <w:trPr>
          <w:cantSplit w:val="true"/>
        </w:trPr>
        <w:tc>
          <w:tcPr>
            <w:tcW w:type="dxa" w:w="3213"/>
            <w:shd w:val="clear" w:color="auto" w:fill="F3EFE6"/>
          </w:tcPr>
          <w:p>
            <w:pPr>
              <w:spacing w:after="0" w:before="0"/>
            </w:pPr>
            <w:r/>
            <w:r>
              <w:rPr>
                <w:b w:val="0"/>
                <w:i w:val="0"/>
                <w:color w:val="1A1A1A"/>
                <w:sz w:val="18"/>
              </w:rPr>
              <w:t>Kontrolleur</w:t>
            </w:r>
          </w:p>
        </w:tc>
        <w:tc>
          <w:tcPr>
            <w:tcW w:type="dxa" w:w="3213"/>
            <w:shd w:val="clear" w:color="auto" w:fill="F3EFE6"/>
          </w:tcPr>
          <w:p>
            <w:pPr>
              <w:spacing w:after="0" w:before="0"/>
            </w:pPr>
            <w:r/>
            <w:r>
              <w:rPr>
                <w:b w:val="0"/>
                <w:i w:val="0"/>
                <w:color w:val="1A1A1A"/>
                <w:sz w:val="18"/>
              </w:rPr>
              <w:t>sucht Fehler bei Personen</w:t>
            </w:r>
          </w:p>
        </w:tc>
        <w:tc>
          <w:tcPr>
            <w:tcW w:type="dxa" w:w="3213"/>
            <w:shd w:val="clear" w:color="auto" w:fill="F3EFE6"/>
          </w:tcPr>
          <w:p>
            <w:pPr>
              <w:spacing w:after="0" w:before="0"/>
            </w:pPr>
            <w:r/>
            <w:r>
              <w:rPr>
                <w:b w:val="0"/>
                <w:i w:val="0"/>
                <w:color w:val="1A1A1A"/>
                <w:sz w:val="18"/>
              </w:rPr>
              <w:t>Namen, wenig über Ursachen; Meldungen werden seltener</w:t>
            </w:r>
          </w:p>
        </w:tc>
      </w:tr>
      <w:tr>
        <w:trPr>
          <w:cantSplit w:val="true"/>
        </w:trPr>
        <w:tc>
          <w:tcPr>
            <w:tcW w:type="dxa" w:w="3213"/>
          </w:tcPr>
          <w:p>
            <w:pPr>
              <w:spacing w:after="0" w:before="0"/>
            </w:pPr>
            <w:r/>
            <w:r>
              <w:rPr>
                <w:b w:val="0"/>
                <w:i w:val="0"/>
                <w:color w:val="1A1A1A"/>
                <w:sz w:val="18"/>
              </w:rPr>
              <w:t>Interner Auditor</w:t>
            </w:r>
          </w:p>
        </w:tc>
        <w:tc>
          <w:tcPr>
            <w:tcW w:type="dxa" w:w="3213"/>
          </w:tcPr>
          <w:p>
            <w:pPr>
              <w:spacing w:after="0" w:before="0"/>
            </w:pPr>
            <w:r/>
            <w:r>
              <w:rPr>
                <w:b w:val="0"/>
                <w:i w:val="0"/>
                <w:color w:val="1A1A1A"/>
                <w:sz w:val="18"/>
              </w:rPr>
              <w:t>prüft das System an Kriterien, hält Nachweise fest</w:t>
            </w:r>
          </w:p>
        </w:tc>
        <w:tc>
          <w:tcPr>
            <w:tcW w:type="dxa" w:w="3213"/>
          </w:tcPr>
          <w:p>
            <w:pPr>
              <w:spacing w:after="0" w:before="0"/>
            </w:pPr>
            <w:r/>
            <w:r>
              <w:rPr>
                <w:b w:val="0"/>
                <w:i w:val="0"/>
                <w:color w:val="1A1A1A"/>
                <w:sz w:val="18"/>
              </w:rPr>
              <w:t>eine Grundlage für Entscheidungen in der Managementbewertung</w:t>
            </w:r>
          </w:p>
        </w:tc>
      </w:tr>
    </w:tbl>
    <w:p>
      <w:pPr>
        <w:spacing w:after="40"/>
      </w:pPr>
    </w:p>
    <w:p>
      <w:pPr>
        <w:pStyle w:val="Heading2"/>
      </w:pPr>
      <w:r>
        <w:t>Praktische Anwendung: das erste interne Audit in sieben Schritten vergeben</w:t>
      </w:r>
    </w:p>
    <w:p>
      <w:pPr>
        <w:tabs>
          <w:tab w:pos="340" w:val="left"/>
        </w:tabs>
        <w:ind w:left="340" w:hanging="340"/>
      </w:pPr>
      <w:r>
        <w:rPr>
          <w:b/>
          <w:color w:val="8C5A2B"/>
        </w:rPr>
        <w:t>1.</w:t>
        <w:tab/>
      </w:r>
      <w:r>
        <w:rPr>
          <w:b/>
        </w:rPr>
        <w:t>Die eigene Arbeit jeder Person aufschreiben.</w:t>
      </w:r>
      <w:r>
        <w:t xml:space="preserve"> Notieren Sie für jeden möglichen Auditor, welche Teile des Systems er gebaut hat und welche er führt. Daraus ergibt sich, was er prüfen kann und was nicht.</w:t>
      </w:r>
    </w:p>
    <w:p>
      <w:pPr>
        <w:tabs>
          <w:tab w:pos="340" w:val="left"/>
        </w:tabs>
        <w:ind w:left="340" w:hanging="340"/>
      </w:pPr>
      <w:r>
        <w:rPr>
          <w:b/>
          <w:color w:val="8C5A2B"/>
        </w:rPr>
        <w:t>2.</w:t>
        <w:tab/>
      </w:r>
      <w:r>
        <w:rPr>
          <w:b/>
        </w:rPr>
        <w:t>Zwischen Kreuzaudit und Auftrag nach außen wählen.</w:t>
      </w:r>
      <w:r>
        <w:t xml:space="preserve"> Im ersten Jahr kennt im Haus meist niemand das Auditieren und das System zugleich. Ein Auftrag nach außen mit einer Begleitperson aus einem Bereich außerhalb der Prüfung verbindet Abstand und Lernen.</w:t>
      </w:r>
    </w:p>
    <w:p>
      <w:pPr>
        <w:tabs>
          <w:tab w:pos="340" w:val="left"/>
        </w:tabs>
        <w:ind w:left="340" w:hanging="340"/>
      </w:pPr>
      <w:r>
        <w:rPr>
          <w:b/>
          <w:color w:val="8C5A2B"/>
        </w:rPr>
        <w:t>3.</w:t>
        <w:tab/>
      </w:r>
      <w:r>
        <w:rPr>
          <w:b/>
        </w:rPr>
        <w:t>Den Auftrag schriftlich erteilen.</w:t>
      </w:r>
      <w:r>
        <w:t xml:space="preserve"> Ziele, Kriterien aus Norm und eigenen Festlegungen, Umfang, Termine, Empfänger des Berichts und Vertraulichkeit gehören auf eine Seite. Die Eigentümerschaft oder die Direktion unterschreibt.</w:t>
      </w:r>
    </w:p>
    <w:p>
      <w:pPr>
        <w:tabs>
          <w:tab w:pos="340" w:val="left"/>
        </w:tabs>
        <w:ind w:left="340" w:hanging="340"/>
      </w:pPr>
      <w:r>
        <w:rPr>
          <w:b/>
          <w:color w:val="8C5A2B"/>
        </w:rPr>
        <w:t>4.</w:t>
        <w:tab/>
      </w:r>
      <w:r>
        <w:rPr>
          <w:b/>
        </w:rPr>
        <w:t>Das Vorgespräch an einem abgeschlossenen Fest führen.</w:t>
      </w:r>
      <w:r>
        <w:t xml:space="preserve"> Lassen Sie die Auditorin die Blätter einer realen Veranstaltung sehen, nicht den Ordner. So erfährt sie, wo im Haus was liegt, und das Haus erfährt, wie sie fragt.</w:t>
      </w:r>
    </w:p>
    <w:p>
      <w:pPr>
        <w:tabs>
          <w:tab w:pos="340" w:val="left"/>
        </w:tabs>
        <w:ind w:left="340" w:hanging="340"/>
      </w:pPr>
      <w:r>
        <w:rPr>
          <w:b/>
          <w:color w:val="8C5A2B"/>
        </w:rPr>
        <w:t>5.</w:t>
        <w:tab/>
      </w:r>
      <w:r>
        <w:rPr>
          <w:b/>
        </w:rPr>
        <w:t>Die Prüftage an ein großes Wochenende legen.</w:t>
      </w:r>
      <w:r>
        <w:t xml:space="preserve"> Mindestens ein Abend mit Abbau gehört in jedes Audit eines Veranstaltungshauses. Wann welche Feste geprüft werden, regelt das Programm (3.3).</w:t>
      </w:r>
    </w:p>
    <w:p>
      <w:pPr>
        <w:tabs>
          <w:tab w:pos="340" w:val="left"/>
        </w:tabs>
        <w:ind w:left="340" w:hanging="340"/>
      </w:pPr>
      <w:r>
        <w:rPr>
          <w:b/>
          <w:color w:val="8C5A2B"/>
        </w:rPr>
        <w:t>6.</w:t>
        <w:tab/>
      </w:r>
      <w:r>
        <w:rPr>
          <w:b/>
        </w:rPr>
        <w:t>Die Grenze zur Beratung festhalten.</w:t>
      </w:r>
      <w:r>
        <w:t xml:space="preserve"> Im Auftrag steht, dass die Auditorin keine Lösungen erarbeitet. Wer Hilfe beim Aufbau braucht, beauftragt dafür jemand anderen.</w:t>
      </w:r>
    </w:p>
    <w:p>
      <w:pPr>
        <w:tabs>
          <w:tab w:pos="340" w:val="left"/>
        </w:tabs>
        <w:ind w:left="340" w:hanging="340"/>
      </w:pPr>
      <w:r>
        <w:rPr>
          <w:b/>
          <w:color w:val="8C5A2B"/>
        </w:rPr>
        <w:t>7.</w:t>
        <w:tab/>
      </w:r>
      <w:r>
        <w:rPr>
          <w:b/>
        </w:rPr>
        <w:t>Den Weg des Berichts bestimmen.</w:t>
      </w:r>
      <w:r>
        <w:t xml:space="preserve"> Der Bericht geht zur selben Stunde an die Leitung und an die Verantwortlichen der geprüften Bereiche. In der Schlussbesprechung sitzen alle, deren Arbeit geprüft wurde.</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eigene Arbeit jeder Person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Zwischen Kreuzaudit und Auftrag nach außen wählen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Auftrag schriftlich erteilen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Das Vorgespräch an einem abgeschlossenen Fest führen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Prüftage an ein großes Wochenende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Grenze zur Beratung festhalten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Weg des Berichts bestimmen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Wissen wir für jeden möglichen Auditor, welche Teile des Systems er selbst gebaut hat oder führt?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Prüft bei uns niemand die eigene Arbeit, auch nicht die Direktion?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einen schriftlichen Auftrag mit Zielen, Kriterien und Umfang?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Nennen die Kriterien neben der Norm auch unsere eigenen Festlegungen?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Liegt mindestens ein Prüftag an einem Abend mit einem großen Fest?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festgehalten, dass der Auditor nicht berät?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Geht der Bericht direkt an die Leitung, nicht über die geprüfte Person?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Weiß die Belegschaft, dass das Audit Abläufe prüft und keine Personen?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Erbauerin des Systems prüfen lassen.</w:t>
      </w:r>
      <w:r>
        <w:t xml:space="preserve"> Sie sieht, was sie eingerichtet hat, und nicht, was fehlt.</w:t>
      </w:r>
    </w:p>
    <w:p>
      <w:pPr>
        <w:tabs>
          <w:tab w:pos="340" w:val="left"/>
        </w:tabs>
        <w:ind w:left="340" w:hanging="340"/>
      </w:pPr>
      <w:r>
        <w:rPr>
          <w:color w:val="8C5A2B"/>
        </w:rPr>
        <w:t>–</w:t>
        <w:tab/>
      </w:r>
      <w:r>
        <w:rPr>
          <w:b/>
        </w:rPr>
        <w:t>Abstand nach Abteilungen messen.</w:t>
      </w:r>
      <w:r>
        <w:t xml:space="preserve"> Entscheidend ist der Abstand zur eigenen Arbeit, nicht zum Bankett.</w:t>
      </w:r>
    </w:p>
    <w:p>
      <w:pPr>
        <w:tabs>
          <w:tab w:pos="340" w:val="left"/>
        </w:tabs>
        <w:ind w:left="340" w:hanging="340"/>
      </w:pPr>
      <w:r>
        <w:rPr>
          <w:color w:val="8C5A2B"/>
        </w:rPr>
        <w:t>–</w:t>
        <w:tab/>
      </w:r>
      <w:r>
        <w:rPr>
          <w:b/>
        </w:rPr>
        <w:t>Die Norm als Fragenkatalog abarbeiten.</w:t>
      </w:r>
      <w:r>
        <w:t xml:space="preserve"> Das Audit zeigt dann, dass es Register gibt, nicht, ob nach ihnen gearbeitet wird.</w:t>
      </w:r>
    </w:p>
    <w:p>
      <w:pPr>
        <w:tabs>
          <w:tab w:pos="340" w:val="left"/>
        </w:tabs>
        <w:ind w:left="340" w:hanging="340"/>
      </w:pPr>
      <w:r>
        <w:rPr>
          <w:color w:val="8C5A2B"/>
        </w:rPr>
        <w:t>–</w:t>
        <w:tab/>
      </w:r>
      <w:r>
        <w:rPr>
          <w:b/>
        </w:rPr>
        <w:t>Vom Auditor Lösungen erwarten.</w:t>
      </w:r>
      <w:r>
        <w:t xml:space="preserve"> Wer berät, prüft beim nächsten Mal seinen eigenen Rat.</w:t>
      </w:r>
    </w:p>
    <w:p>
      <w:pPr>
        <w:tabs>
          <w:tab w:pos="340" w:val="left"/>
        </w:tabs>
        <w:ind w:left="340" w:hanging="340"/>
      </w:pPr>
      <w:r>
        <w:rPr>
          <w:color w:val="8C5A2B"/>
        </w:rPr>
        <w:t>–</w:t>
        <w:tab/>
      </w:r>
      <w:r>
        <w:rPr>
          <w:b/>
        </w:rPr>
        <w:t>Das Audit als Kontrolle ankündigen.</w:t>
      </w:r>
      <w:r>
        <w:t xml:space="preserve"> Die Belegschaft zeigt dann, was gut aussieht.</w:t>
      </w:r>
    </w:p>
    <w:p>
      <w:pPr>
        <w:tabs>
          <w:tab w:pos="340" w:val="left"/>
        </w:tabs>
        <w:ind w:left="340" w:hanging="340"/>
      </w:pPr>
      <w:r>
        <w:rPr>
          <w:color w:val="8C5A2B"/>
        </w:rPr>
        <w:t>–</w:t>
        <w:tab/>
      </w:r>
      <w:r>
        <w:rPr>
          <w:b/>
        </w:rPr>
        <w:t>Den Bericht über die geprüfte Person leiten.</w:t>
      </w:r>
      <w:r>
        <w:t xml:space="preserve"> Er kommt bei der Leitung gefiltert an.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Auditorin von außen: 3 Tage zu € 1.050</w:t>
            </w:r>
          </w:p>
        </w:tc>
        <w:tc>
          <w:tcPr>
            <w:tcW w:type="dxa" w:w="1474"/>
          </w:tcPr>
          <w:p>
            <w:pPr>
              <w:spacing w:after="0" w:before="0"/>
            </w:pPr>
            <w:r/>
            <w:r>
              <w:rPr>
                <w:b w:val="0"/>
                <w:i w:val="0"/>
                <w:color w:val="1A1A1A"/>
                <w:sz w:val="18"/>
              </w:rPr>
              <w:t>€ 3.150</w:t>
            </w:r>
          </w:p>
        </w:tc>
        <w:tc>
          <w:tcPr>
            <w:tcW w:type="dxa" w:w="3175"/>
          </w:tcPr>
          <w:p>
            <w:pPr>
              <w:spacing w:after="0" w:before="0"/>
            </w:pPr>
            <w:r/>
            <w:r>
              <w:rPr>
                <w:b w:val="0"/>
                <w:i w:val="0"/>
                <w:color w:val="1A1A1A"/>
                <w:sz w:val="18"/>
              </w:rPr>
              <w:t>Vorgespräch, zwei Prüftage mit Abenden, Bericht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Begleitung durch das Haus</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Haustechniker im Bankett; Bankettleiterin nur für Unterlagen und Schlüssel</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Gespräche: 12 Personen zu 25 Minuten</w:t>
            </w:r>
          </w:p>
        </w:tc>
        <w:tc>
          <w:tcPr>
            <w:tcW w:type="dxa" w:w="1474"/>
          </w:tcPr>
          <w:p>
            <w:pPr>
              <w:spacing w:after="0" w:before="0"/>
            </w:pPr>
            <w:r/>
            <w:r>
              <w:rPr>
                <w:b w:val="0"/>
                <w:i w:val="0"/>
                <w:color w:val="1A1A1A"/>
                <w:sz w:val="18"/>
              </w:rPr>
              <w:t>5 Stunden</w:t>
            </w:r>
          </w:p>
        </w:tc>
        <w:tc>
          <w:tcPr>
            <w:tcW w:type="dxa" w:w="3175"/>
          </w:tcPr>
          <w:p>
            <w:pPr>
              <w:spacing w:after="0" w:before="0"/>
            </w:pPr>
            <w:r/>
            <w:r>
              <w:rPr>
                <w:b w:val="0"/>
                <w:i w:val="0"/>
                <w:color w:val="1A1A1A"/>
                <w:sz w:val="18"/>
              </w:rPr>
              <w:t>Küche, Spülküche, Agentur, Rezeption, Technik</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Gegenrechnung Selbstprüfung: 3 Tage der Bankettleiterin</w:t>
            </w:r>
          </w:p>
        </w:tc>
        <w:tc>
          <w:tcPr>
            <w:tcW w:type="dxa" w:w="1474"/>
            <w:shd w:val="clear" w:color="auto" w:fill="F3EFE6"/>
          </w:tcPr>
          <w:p>
            <w:pPr>
              <w:spacing w:after="0" w:before="0"/>
            </w:pPr>
            <w:r/>
            <w:r>
              <w:rPr>
                <w:b w:val="0"/>
                <w:i w:val="0"/>
                <w:color w:val="1A1A1A"/>
                <w:sz w:val="18"/>
              </w:rPr>
              <w:t>24 Stunden</w:t>
            </w:r>
          </w:p>
        </w:tc>
        <w:tc>
          <w:tcPr>
            <w:tcW w:type="dxa" w:w="3175"/>
            <w:shd w:val="clear" w:color="auto" w:fill="F3EFE6"/>
          </w:tcPr>
          <w:p>
            <w:pPr>
              <w:spacing w:after="0" w:before="0"/>
            </w:pPr>
            <w:r/>
            <w:r>
              <w:rPr>
                <w:b w:val="0"/>
                <w:i w:val="0"/>
                <w:color w:val="1A1A1A"/>
                <w:sz w:val="18"/>
              </w:rPr>
              <w:t>weniger Geld, aber ohne Unparteilichkeit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Kongress des Verbands aus Wien, Umsatz</w:t>
            </w:r>
          </w:p>
        </w:tc>
        <w:tc>
          <w:tcPr>
            <w:tcW w:type="dxa" w:w="1474"/>
          </w:tcPr>
          <w:p>
            <w:pPr>
              <w:spacing w:after="0" w:before="0"/>
            </w:pPr>
            <w:r/>
            <w:r>
              <w:rPr>
                <w:b w:val="0"/>
                <w:i w:val="0"/>
                <w:color w:val="1A1A1A"/>
                <w:sz w:val="18"/>
              </w:rPr>
              <w:t>€ 115.000</w:t>
            </w:r>
          </w:p>
        </w:tc>
        <w:tc>
          <w:tcPr>
            <w:tcW w:type="dxa" w:w="3175"/>
          </w:tcPr>
          <w:p>
            <w:pPr>
              <w:spacing w:after="0" w:before="0"/>
            </w:pPr>
            <w:r/>
            <w:r>
              <w:rPr>
                <w:b w:val="0"/>
                <w:i w:val="0"/>
                <w:color w:val="1A1A1A"/>
                <w:sz w:val="18"/>
              </w:rPr>
              <w:t>in Frage, wenn der Verband die Lücken selbst findet</w:t>
            </w:r>
          </w:p>
        </w:tc>
        <w:tc>
          <w:tcPr>
            <w:tcW w:type="dxa" w:w="1814"/>
          </w:tcPr>
          <w:p>
            <w:pPr>
              <w:spacing w:after="0" w:before="0"/>
            </w:pPr>
            <w:r/>
            <w:r>
              <w:rPr>
                <w:b w:val="0"/>
                <w:i w:val="0"/>
                <w:color w:val="1A1A1A"/>
                <w:sz w:val="18"/>
              </w:rPr>
            </w:r>
          </w:p>
        </w:tc>
      </w:tr>
    </w:tbl>
    <w:p>
      <w:pPr>
        <w:spacing w:after="40"/>
      </w:pPr>
    </w:p>
    <w:p>
      <w:r>
        <w:rPr>
          <w:b w:val="0"/>
          <w:i w:val="0"/>
        </w:rPr>
        <w:t>Die Rechnung vermischt Stunden und Geld nicht: Die 3.150 Euro sind das Honorar, die fünfzehn Stunden der Belegschaft kommen hinzu. Der Umsatz des Kongresses ist kein Gewinn und kein Schaden, der sicher einträte. Er zeigt nur die Größenordnung dessen, was an der Frage hängt, ob jemand Unabhängiges vor dem Kunden hingesehen hat.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Interne Audits in geplanten Abständen (9.2.1)</w:t>
            </w:r>
          </w:p>
        </w:tc>
        <w:tc>
          <w:tcPr>
            <w:tcW w:type="dxa" w:w="3175"/>
          </w:tcPr>
          <w:p>
            <w:pPr>
              <w:spacing w:after="0" w:before="0"/>
            </w:pPr>
            <w:r/>
            <w:r>
              <w:rPr>
                <w:b w:val="0"/>
                <w:i w:val="0"/>
                <w:color w:val="1A1A1A"/>
                <w:sz w:val="18"/>
              </w:rPr>
              <w:t>Auftrag mit Terminen vor der Managementbewertung</w:t>
            </w:r>
          </w:p>
        </w:tc>
        <w:tc>
          <w:tcPr>
            <w:tcW w:type="dxa" w:w="3175"/>
          </w:tcPr>
          <w:p>
            <w:pPr>
              <w:spacing w:after="0" w:before="0"/>
            </w:pPr>
            <w:r/>
            <w:r>
              <w:rPr>
                <w:b w:val="0"/>
                <w:i w:val="0"/>
                <w:color w:val="1A1A1A"/>
                <w:sz w:val="18"/>
              </w:rPr>
              <w:t>Methode: das erste Audit an einem großen Wochenende</w:t>
            </w:r>
          </w:p>
        </w:tc>
      </w:tr>
      <w:tr>
        <w:trPr>
          <w:cantSplit w:val="true"/>
        </w:trPr>
        <w:tc>
          <w:tcPr>
            <w:tcW w:type="dxa" w:w="3288"/>
            <w:shd w:val="clear" w:color="auto" w:fill="F3EFE6"/>
          </w:tcPr>
          <w:p>
            <w:pPr>
              <w:spacing w:after="0" w:before="0"/>
            </w:pPr>
            <w:r/>
            <w:r>
              <w:rPr>
                <w:b w:val="0"/>
                <w:i w:val="0"/>
                <w:color w:val="1A1A1A"/>
                <w:sz w:val="18"/>
              </w:rPr>
              <w:t>Prüfung auf Konformität, wirksame Verwirklichung, Erreichen von Politik und Zielen (9.2.1 a–c)</w:t>
            </w:r>
          </w:p>
        </w:tc>
        <w:tc>
          <w:tcPr>
            <w:tcW w:type="dxa" w:w="3175"/>
            <w:shd w:val="clear" w:color="auto" w:fill="F3EFE6"/>
          </w:tcPr>
          <w:p>
            <w:pPr>
              <w:spacing w:after="0" w:before="0"/>
            </w:pPr>
            <w:r/>
            <w:r>
              <w:rPr>
                <w:b w:val="0"/>
                <w:i w:val="0"/>
                <w:color w:val="1A1A1A"/>
                <w:sz w:val="18"/>
              </w:rPr>
              <w:t>Kriterien aus Norm und eigenen Festlegungen; reale Feste als Prüfgegenstand</w:t>
            </w:r>
          </w:p>
        </w:tc>
        <w:tc>
          <w:tcPr>
            <w:tcW w:type="dxa" w:w="3175"/>
            <w:shd w:val="clear" w:color="auto" w:fill="F3EFE6"/>
          </w:tcPr>
          <w:p>
            <w:pPr>
              <w:spacing w:after="0" w:before="0"/>
            </w:pPr>
            <w:r/>
            <w:r>
              <w:rPr>
                <w:b w:val="0"/>
                <w:i w:val="0"/>
                <w:color w:val="1A1A1A"/>
                <w:sz w:val="18"/>
              </w:rPr>
              <w:t>Methode: ein abgeschlossenes Fest statt eines Fragenordners</w:t>
            </w:r>
          </w:p>
        </w:tc>
      </w:tr>
      <w:tr>
        <w:trPr>
          <w:cantSplit w:val="true"/>
        </w:trPr>
        <w:tc>
          <w:tcPr>
            <w:tcW w:type="dxa" w:w="3288"/>
          </w:tcPr>
          <w:p>
            <w:pPr>
              <w:spacing w:after="0" w:before="0"/>
            </w:pPr>
            <w:r/>
            <w:r>
              <w:rPr>
                <w:b w:val="0"/>
                <w:i w:val="0"/>
                <w:color w:val="1A1A1A"/>
                <w:sz w:val="18"/>
              </w:rPr>
              <w:t>Ziele, Kriterien, Umfang je Audit (9.2.2)</w:t>
            </w:r>
          </w:p>
        </w:tc>
        <w:tc>
          <w:tcPr>
            <w:tcW w:type="dxa" w:w="3175"/>
          </w:tcPr>
          <w:p>
            <w:pPr>
              <w:spacing w:after="0" w:before="0"/>
            </w:pPr>
            <w:r/>
            <w:r>
              <w:rPr>
                <w:b w:val="0"/>
                <w:i w:val="0"/>
                <w:color w:val="1A1A1A"/>
                <w:sz w:val="18"/>
              </w:rPr>
              <w:t>Auftragsschreiben der Eigentümerin, eine Seite</w:t>
            </w:r>
          </w:p>
        </w:tc>
        <w:tc>
          <w:tcPr>
            <w:tcW w:type="dxa" w:w="3175"/>
          </w:tcPr>
          <w:p>
            <w:pPr>
              <w:spacing w:after="0" w:before="0"/>
            </w:pPr>
            <w:r/>
            <w:r>
              <w:rPr>
                <w:b w:val="0"/>
                <w:i w:val="0"/>
                <w:color w:val="1A1A1A"/>
                <w:sz w:val="18"/>
              </w:rPr>
              <w:t>keine</w:t>
            </w:r>
          </w:p>
        </w:tc>
      </w:tr>
      <w:tr>
        <w:trPr>
          <w:cantSplit w:val="true"/>
        </w:trPr>
        <w:tc>
          <w:tcPr>
            <w:tcW w:type="dxa" w:w="3288"/>
            <w:shd w:val="clear" w:color="auto" w:fill="F3EFE6"/>
          </w:tcPr>
          <w:p>
            <w:pPr>
              <w:spacing w:after="0" w:before="0"/>
            </w:pPr>
            <w:r/>
            <w:r>
              <w:rPr>
                <w:b w:val="0"/>
                <w:i w:val="0"/>
                <w:color w:val="1A1A1A"/>
                <w:sz w:val="18"/>
              </w:rPr>
              <w:t>Auswahl für Objektivität und Unparteilichkeit (9.2.2)</w:t>
            </w:r>
          </w:p>
        </w:tc>
        <w:tc>
          <w:tcPr>
            <w:tcW w:type="dxa" w:w="3175"/>
            <w:shd w:val="clear" w:color="auto" w:fill="F3EFE6"/>
          </w:tcPr>
          <w:p>
            <w:pPr>
              <w:spacing w:after="0" w:before="0"/>
            </w:pPr>
            <w:r/>
            <w:r>
              <w:rPr>
                <w:b w:val="0"/>
                <w:i w:val="0"/>
                <w:color w:val="1A1A1A"/>
                <w:sz w:val="18"/>
              </w:rPr>
              <w:t>schriftliche Begründung der Wahl</w:t>
            </w:r>
          </w:p>
        </w:tc>
        <w:tc>
          <w:tcPr>
            <w:tcW w:type="dxa" w:w="3175"/>
            <w:shd w:val="clear" w:color="auto" w:fill="F3EFE6"/>
          </w:tcPr>
          <w:p>
            <w:pPr>
              <w:spacing w:after="0" w:before="0"/>
            </w:pPr>
            <w:r/>
            <w:r>
              <w:rPr>
                <w:b w:val="0"/>
                <w:i w:val="0"/>
                <w:color w:val="1A1A1A"/>
                <w:sz w:val="18"/>
              </w:rPr>
              <w:t>A.21: nicht die eigene Arbeit prüfen; ISO 19011: Grundsatz der Unabhängigkeit</w:t>
            </w:r>
          </w:p>
        </w:tc>
      </w:tr>
      <w:tr>
        <w:trPr>
          <w:cantSplit w:val="true"/>
        </w:trPr>
        <w:tc>
          <w:tcPr>
            <w:tcW w:type="dxa" w:w="3288"/>
          </w:tcPr>
          <w:p>
            <w:pPr>
              <w:spacing w:after="0" w:before="0"/>
            </w:pPr>
            <w:r/>
            <w:r>
              <w:rPr>
                <w:b w:val="0"/>
                <w:i w:val="0"/>
                <w:color w:val="1A1A1A"/>
                <w:sz w:val="18"/>
              </w:rPr>
              <w:t>Ergebnisse an die zuständige Leitung (9.2.2)</w:t>
            </w:r>
          </w:p>
        </w:tc>
        <w:tc>
          <w:tcPr>
            <w:tcW w:type="dxa" w:w="3175"/>
          </w:tcPr>
          <w:p>
            <w:pPr>
              <w:spacing w:after="0" w:before="0"/>
            </w:pPr>
            <w:r/>
            <w:r>
              <w:rPr>
                <w:b w:val="0"/>
                <w:i w:val="0"/>
                <w:color w:val="1A1A1A"/>
                <w:sz w:val="18"/>
              </w:rPr>
              <w:t>Bericht an Eigentümerin und Direktor, mit Datum</w:t>
            </w:r>
          </w:p>
        </w:tc>
        <w:tc>
          <w:tcPr>
            <w:tcW w:type="dxa" w:w="3175"/>
          </w:tcPr>
          <w:p>
            <w:pPr>
              <w:spacing w:after="0" w:before="0"/>
            </w:pPr>
            <w:r/>
            <w:r>
              <w:rPr>
                <w:b w:val="0"/>
                <w:i w:val="0"/>
                <w:color w:val="1A1A1A"/>
                <w:sz w:val="18"/>
              </w:rPr>
              <w:t>Methode: Schlussbesprechung mit allen geprüften Bereichen</w:t>
            </w:r>
          </w:p>
        </w:tc>
      </w:tr>
    </w:tbl>
    <w:p>
      <w:pPr>
        <w:spacing w:after="40"/>
      </w:pPr>
    </w:p>
    <w:p>
      <w:pPr>
        <w:pStyle w:val="Heading2"/>
      </w:pPr>
      <w:r>
        <w:t>DACH-Anker: wo das Recht das interne Audit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Pflicht zum internen Audit</w:t>
            </w:r>
          </w:p>
        </w:tc>
        <w:tc>
          <w:tcPr>
            <w:tcW w:type="dxa" w:w="2721"/>
          </w:tcPr>
          <w:p>
            <w:pPr>
              <w:spacing w:after="0" w:before="0"/>
            </w:pPr>
            <w:r/>
            <w:r>
              <w:rPr>
                <w:b w:val="0"/>
                <w:i w:val="0"/>
                <w:color w:val="1A1A1A"/>
                <w:sz w:val="17"/>
              </w:rPr>
              <w:t>keine gesetzliche; nur nach der Norm</w:t>
            </w:r>
          </w:p>
        </w:tc>
        <w:tc>
          <w:tcPr>
            <w:tcW w:type="dxa" w:w="2721"/>
          </w:tcPr>
          <w:p>
            <w:pPr>
              <w:spacing w:after="0" w:before="0"/>
            </w:pPr>
            <w:r/>
            <w:r>
              <w:rPr>
                <w:b w:val="0"/>
                <w:i w:val="0"/>
                <w:color w:val="1A1A1A"/>
                <w:sz w:val="17"/>
              </w:rPr>
              <w:t>keine gesetzliche; nur nach der Norm</w:t>
            </w:r>
          </w:p>
        </w:tc>
        <w:tc>
          <w:tcPr>
            <w:tcW w:type="dxa" w:w="2721"/>
          </w:tcPr>
          <w:p>
            <w:pPr>
              <w:spacing w:after="0" w:before="0"/>
            </w:pPr>
            <w:r/>
            <w:r>
              <w:rPr>
                <w:b w:val="0"/>
                <w:i w:val="0"/>
                <w:color w:val="1A1A1A"/>
                <w:sz w:val="17"/>
              </w:rPr>
              <w:t>keine gesetzliche; nur nach der Norm</w:t>
            </w:r>
          </w:p>
        </w:tc>
      </w:tr>
      <w:tr>
        <w:trPr>
          <w:cantSplit w:val="true"/>
        </w:trPr>
        <w:tc>
          <w:tcPr>
            <w:tcW w:type="dxa" w:w="1474"/>
            <w:shd w:val="clear" w:color="auto" w:fill="F3EFE6"/>
          </w:tcPr>
          <w:p>
            <w:pPr>
              <w:spacing w:after="0" w:before="0"/>
            </w:pPr>
            <w:r/>
            <w:r>
              <w:rPr>
                <w:b w:val="0"/>
                <w:i w:val="0"/>
                <w:color w:val="1A1A1A"/>
                <w:sz w:val="17"/>
              </w:rPr>
              <w:t>Einsicht in Gästelisten und Verträge</w:t>
            </w:r>
          </w:p>
        </w:tc>
        <w:tc>
          <w:tcPr>
            <w:tcW w:type="dxa" w:w="2721"/>
            <w:shd w:val="clear" w:color="auto" w:fill="F3EFE6"/>
          </w:tcPr>
          <w:p>
            <w:pPr>
              <w:spacing w:after="0" w:before="0"/>
            </w:pPr>
            <w:r/>
            <w:r>
              <w:rPr>
                <w:b w:val="0"/>
                <w:i w:val="0"/>
                <w:color w:val="1A1A1A"/>
                <w:sz w:val="17"/>
              </w:rPr>
              <w:t>DSGVO; nur einsehen, was das Kriterium braucht (Art. 5 Abs. 1 lit. c)</w:t>
            </w:r>
          </w:p>
        </w:tc>
        <w:tc>
          <w:tcPr>
            <w:tcW w:type="dxa" w:w="2721"/>
            <w:shd w:val="clear" w:color="auto" w:fill="F3EFE6"/>
          </w:tcPr>
          <w:p>
            <w:pPr>
              <w:spacing w:after="0" w:before="0"/>
            </w:pPr>
            <w:r/>
            <w:r>
              <w:rPr>
                <w:b w:val="0"/>
                <w:i w:val="0"/>
                <w:color w:val="1A1A1A"/>
                <w:sz w:val="17"/>
              </w:rPr>
              <w:t>DSGVO, ebenso</w:t>
            </w:r>
          </w:p>
        </w:tc>
        <w:tc>
          <w:tcPr>
            <w:tcW w:type="dxa" w:w="2721"/>
            <w:shd w:val="clear" w:color="auto" w:fill="F3EFE6"/>
          </w:tcPr>
          <w:p>
            <w:pPr>
              <w:spacing w:after="0" w:before="0"/>
            </w:pPr>
            <w:r/>
            <w:r>
              <w:rPr>
                <w:b w:val="0"/>
                <w:i w:val="0"/>
                <w:color w:val="1A1A1A"/>
                <w:sz w:val="17"/>
              </w:rPr>
              <w:t>Datenschutzgesetz; Bearbeitung verhältnismäßig</w:t>
            </w:r>
          </w:p>
        </w:tc>
      </w:tr>
      <w:tr>
        <w:trPr>
          <w:cantSplit w:val="true"/>
        </w:trPr>
        <w:tc>
          <w:tcPr>
            <w:tcW w:type="dxa" w:w="1474"/>
          </w:tcPr>
          <w:p>
            <w:pPr>
              <w:spacing w:after="0" w:before="0"/>
            </w:pPr>
            <w:r/>
            <w:r>
              <w:rPr>
                <w:b w:val="0"/>
                <w:i w:val="0"/>
                <w:color w:val="1A1A1A"/>
                <w:sz w:val="17"/>
              </w:rPr>
              <w:t>Gespräche mit Mitarbeitenden</w:t>
            </w:r>
          </w:p>
        </w:tc>
        <w:tc>
          <w:tcPr>
            <w:tcW w:type="dxa" w:w="2721"/>
          </w:tcPr>
          <w:p>
            <w:pPr>
              <w:spacing w:after="0" w:before="0"/>
            </w:pPr>
            <w:r/>
            <w:r>
              <w:rPr>
                <w:b w:val="0"/>
                <w:i w:val="0"/>
                <w:color w:val="1A1A1A"/>
                <w:sz w:val="17"/>
              </w:rPr>
              <w:t>Betriebsrat, wo vorhanden, früh unterrichten; Rechte nach dem Betriebsverfassungsgesetz</w:t>
            </w:r>
          </w:p>
        </w:tc>
        <w:tc>
          <w:tcPr>
            <w:tcW w:type="dxa" w:w="2721"/>
          </w:tcPr>
          <w:p>
            <w:pPr>
              <w:spacing w:after="0" w:before="0"/>
            </w:pPr>
            <w:r/>
            <w:r>
              <w:rPr>
                <w:b w:val="0"/>
                <w:i w:val="0"/>
                <w:color w:val="1A1A1A"/>
                <w:sz w:val="17"/>
              </w:rPr>
              <w:t>Betriebsrat, wo vorhanden, früh unterrichten; Rechte nach dem Arbeitsverfassungsgesetz</w:t>
            </w:r>
          </w:p>
        </w:tc>
        <w:tc>
          <w:tcPr>
            <w:tcW w:type="dxa" w:w="2721"/>
          </w:tcPr>
          <w:p>
            <w:pPr>
              <w:spacing w:after="0" w:before="0"/>
            </w:pPr>
            <w:r/>
            <w:r>
              <w:rPr>
                <w:b w:val="0"/>
                <w:i w:val="0"/>
                <w:color w:val="1A1A1A"/>
                <w:sz w:val="17"/>
              </w:rPr>
              <w:t>Arbeitnehmervertretung, wo vorhanden; Mitwirkungsgesetz</w:t>
            </w:r>
          </w:p>
        </w:tc>
      </w:tr>
      <w:tr>
        <w:trPr>
          <w:cantSplit w:val="true"/>
        </w:trPr>
        <w:tc>
          <w:tcPr>
            <w:tcW w:type="dxa" w:w="1474"/>
            <w:shd w:val="clear" w:color="auto" w:fill="F3EFE6"/>
          </w:tcPr>
          <w:p>
            <w:pPr>
              <w:spacing w:after="0" w:before="0"/>
            </w:pPr>
            <w:r/>
            <w:r>
              <w:rPr>
                <w:b w:val="0"/>
                <w:i w:val="0"/>
                <w:color w:val="1A1A1A"/>
                <w:sz w:val="17"/>
              </w:rPr>
              <w:t>Selbsterklärung nach dem Audit</w:t>
            </w:r>
          </w:p>
        </w:tc>
        <w:tc>
          <w:tcPr>
            <w:tcW w:type="dxa" w:w="2721"/>
            <w:shd w:val="clear" w:color="auto" w:fill="F3EFE6"/>
          </w:tcPr>
          <w:p>
            <w:pPr>
              <w:spacing w:after="0" w:before="0"/>
            </w:pPr>
            <w:r/>
            <w:r>
              <w:rPr>
                <w:b w:val="0"/>
                <w:i w:val="0"/>
                <w:color w:val="1A1A1A"/>
                <w:sz w:val="17"/>
              </w:rPr>
              <w:t>gegenüber Verbrauchern UWG ab 27. September 2026; kein eigenes Siegel ohne Zertifizierungssystem (Anhang Nr. 2a)</w:t>
            </w:r>
          </w:p>
        </w:tc>
        <w:tc>
          <w:tcPr>
            <w:tcW w:type="dxa" w:w="2721"/>
            <w:shd w:val="clear" w:color="auto" w:fill="F3EFE6"/>
          </w:tcPr>
          <w:p>
            <w:pPr>
              <w:spacing w:after="0" w:before="0"/>
            </w:pPr>
            <w:r/>
            <w:r>
              <w:rPr>
                <w:b w:val="0"/>
                <w:i w:val="0"/>
                <w:color w:val="1A1A1A"/>
                <w:sz w:val="17"/>
              </w:rPr>
              <w:t>UWG-Novelle BGBl. I Nr. 58/2026; gleiche Regel gegenüber Verbrauchern (Anhang Z 2a)</w:t>
            </w:r>
          </w:p>
        </w:tc>
        <w:tc>
          <w:tcPr>
            <w:tcW w:type="dxa" w:w="2721"/>
            <w:shd w:val="clear" w:color="auto" w:fill="F3EFE6"/>
          </w:tcPr>
          <w:p>
            <w:pPr>
              <w:spacing w:after="0" w:before="0"/>
            </w:pPr>
            <w:r/>
            <w:r>
              <w:rPr>
                <w:b w:val="0"/>
                <w:i w:val="0"/>
                <w:color w:val="1A1A1A"/>
                <w:sz w:val="17"/>
              </w:rPr>
              <w:t>Irreführungsverbot (Art. 3 Abs. 1 lit. b UWG); Klimaaussagen nach lit. x</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 — Das erste interne Audit vergeben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