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3.10</w:t>
      </w:r>
    </w:p>
    <w:p>
      <w:pPr>
        <w:pStyle w:val="Heading1"/>
      </w:pPr>
      <w:r>
        <w:t>Eine Feststellung schreiben</w:t>
      </w:r>
    </w:p>
    <w:p>
      <w:pPr>
        <w:spacing w:after="0"/>
      </w:pPr>
      <w:r>
        <w:rPr>
          <w:b w:val="0"/>
          <w:i/>
          <w:color w:val="5A5A5A"/>
        </w:rPr>
        <w:t>Abschnitt 3.10 · Feststellungen: Kriterium, Nachweis, Schlussfolgerung</w:t>
      </w:r>
    </w:p>
    <w:p>
      <w:pPr>
        <w:spacing w:after="160"/>
      </w:pPr>
      <w:r>
        <w:rPr>
          <w:b w:val="0"/>
          <w:i w:val="0"/>
          <w:color w:val="5A5A5A"/>
          <w:sz w:val="18"/>
        </w:rPr>
        <w:t>Modellfall im Buch: Regensburg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in Ihrem Auditbericht steht, die Abfalltrennung sei mangelhaft: Könnte morgen jemand anderes an dieselbe Stelle gehen und sehen, was Ihr Auditor gesehen hat? Und woran erkennt Ihre Bankettleitung in dem Satz, welche Regel verfehlt ist und was nur die Meinung dessen ist, der geprüft hat?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Teile einer Feststellung, am Satz über die Barrierefreiheit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Teil</w:t>
            </w:r>
          </w:p>
        </w:tc>
        <w:tc>
          <w:tcPr>
            <w:tcW w:type="dxa" w:w="3213"/>
            <w:shd w:val="clear" w:color="auto" w:fill="8C5A2B"/>
          </w:tcPr>
          <w:p>
            <w:pPr>
              <w:spacing w:after="0" w:before="0"/>
            </w:pPr>
            <w:r/>
            <w:r>
              <w:rPr>
                <w:b/>
                <w:i w:val="0"/>
                <w:color w:val="FFFFFF"/>
                <w:sz w:val="18"/>
              </w:rPr>
              <w:t>Frage, die er beantwortet</w:t>
            </w:r>
          </w:p>
        </w:tc>
        <w:tc>
          <w:tcPr>
            <w:tcW w:type="dxa" w:w="3213"/>
            <w:shd w:val="clear" w:color="auto" w:fill="8C5A2B"/>
          </w:tcPr>
          <w:p>
            <w:pPr>
              <w:spacing w:after="0" w:before="0"/>
            </w:pPr>
            <w:r/>
            <w:r>
              <w:rPr>
                <w:b/>
                <w:i w:val="0"/>
                <w:color w:val="FFFFFF"/>
                <w:sz w:val="18"/>
              </w:rPr>
              <w:t>Im Bericht aus Regensburg</w:t>
            </w:r>
          </w:p>
        </w:tc>
      </w:tr>
      <w:tr>
        <w:trPr>
          <w:cantSplit w:val="true"/>
        </w:trPr>
        <w:tc>
          <w:tcPr>
            <w:tcW w:type="dxa" w:w="3213"/>
          </w:tcPr>
          <w:p>
            <w:pPr>
              <w:spacing w:after="0" w:before="0"/>
            </w:pPr>
            <w:r/>
            <w:r>
              <w:rPr>
                <w:b w:val="0"/>
                <w:i w:val="0"/>
                <w:color w:val="1A1A1A"/>
                <w:sz w:val="18"/>
              </w:rPr>
              <w:t>Kriterium</w:t>
            </w:r>
          </w:p>
        </w:tc>
        <w:tc>
          <w:tcPr>
            <w:tcW w:type="dxa" w:w="3213"/>
          </w:tcPr>
          <w:p>
            <w:pPr>
              <w:spacing w:after="0" w:before="0"/>
            </w:pPr>
            <w:r/>
            <w:r>
              <w:rPr>
                <w:b w:val="0"/>
                <w:i w:val="0"/>
                <w:color w:val="1A1A1A"/>
                <w:sz w:val="18"/>
              </w:rPr>
              <w:t>Woran wurde geprüft?</w:t>
            </w:r>
          </w:p>
        </w:tc>
        <w:tc>
          <w:tcPr>
            <w:tcW w:type="dxa" w:w="3213"/>
          </w:tcPr>
          <w:p>
            <w:pPr>
              <w:spacing w:after="0" w:before="0"/>
            </w:pPr>
            <w:r/>
            <w:r>
              <w:rPr>
                <w:b w:val="0"/>
                <w:i w:val="0"/>
                <w:color w:val="1A1A1A"/>
                <w:sz w:val="18"/>
              </w:rPr>
              <w:t>Ablaufplan Bankett, Festlegung 3: Auftraggeber fragen, ob Gäste etwas brauchen, um teilnehmen zu können; Antwort ins Formular</w:t>
            </w:r>
          </w:p>
        </w:tc>
      </w:tr>
      <w:tr>
        <w:trPr>
          <w:cantSplit w:val="true"/>
        </w:trPr>
        <w:tc>
          <w:tcPr>
            <w:tcW w:type="dxa" w:w="3213"/>
            <w:shd w:val="clear" w:color="auto" w:fill="F3EFE6"/>
          </w:tcPr>
          <w:p>
            <w:pPr>
              <w:spacing w:after="0" w:before="0"/>
            </w:pPr>
            <w:r/>
            <w:r>
              <w:rPr>
                <w:b w:val="0"/>
                <w:i w:val="0"/>
                <w:color w:val="1A1A1A"/>
                <w:sz w:val="18"/>
              </w:rPr>
              <w:t>Nachweis</w:t>
            </w:r>
          </w:p>
        </w:tc>
        <w:tc>
          <w:tcPr>
            <w:tcW w:type="dxa" w:w="3213"/>
            <w:shd w:val="clear" w:color="auto" w:fill="F3EFE6"/>
          </w:tcPr>
          <w:p>
            <w:pPr>
              <w:spacing w:after="0" w:before="0"/>
            </w:pPr>
            <w:r/>
            <w:r>
              <w:rPr>
                <w:b w:val="0"/>
                <w:i w:val="0"/>
                <w:color w:val="1A1A1A"/>
                <w:sz w:val="18"/>
              </w:rPr>
              <w:t>Was wurde wo und wann gesehen?</w:t>
            </w:r>
          </w:p>
        </w:tc>
        <w:tc>
          <w:tcPr>
            <w:tcW w:type="dxa" w:w="3213"/>
            <w:shd w:val="clear" w:color="auto" w:fill="F3EFE6"/>
          </w:tcPr>
          <w:p>
            <w:pPr>
              <w:spacing w:after="0" w:before="0"/>
            </w:pPr>
            <w:r/>
            <w:r>
              <w:rPr>
                <w:b w:val="0"/>
                <w:i w:val="0"/>
                <w:color w:val="1A1A1A"/>
                <w:sz w:val="18"/>
              </w:rPr>
              <w:t>14 Bankettformulare September, Donnerstag im Bankettbüro: Feld in 9 beantwortet, in 5 leer; Vorlage im Wochenendbüro ohne das Feld</w:t>
            </w:r>
          </w:p>
        </w:tc>
      </w:tr>
      <w:tr>
        <w:trPr>
          <w:cantSplit w:val="true"/>
        </w:trPr>
        <w:tc>
          <w:tcPr>
            <w:tcW w:type="dxa" w:w="3213"/>
          </w:tcPr>
          <w:p>
            <w:pPr>
              <w:spacing w:after="0" w:before="0"/>
            </w:pPr>
            <w:r/>
            <w:r>
              <w:rPr>
                <w:b w:val="0"/>
                <w:i w:val="0"/>
                <w:color w:val="1A1A1A"/>
                <w:sz w:val="18"/>
              </w:rPr>
              <w:t>Schlussfolgerung</w:t>
            </w:r>
          </w:p>
        </w:tc>
        <w:tc>
          <w:tcPr>
            <w:tcW w:type="dxa" w:w="3213"/>
          </w:tcPr>
          <w:p>
            <w:pPr>
              <w:spacing w:after="0" w:before="0"/>
            </w:pPr>
            <w:r/>
            <w:r>
              <w:rPr>
                <w:b w:val="0"/>
                <w:i w:val="0"/>
                <w:color w:val="1A1A1A"/>
                <w:sz w:val="18"/>
              </w:rPr>
              <w:t>Was ergibt der Vergleich, und wie weit reicht er?</w:t>
            </w:r>
          </w:p>
        </w:tc>
        <w:tc>
          <w:tcPr>
            <w:tcW w:type="dxa" w:w="3213"/>
          </w:tcPr>
          <w:p>
            <w:pPr>
              <w:spacing w:after="0" w:before="0"/>
            </w:pPr>
            <w:r/>
            <w:r>
              <w:rPr>
                <w:b w:val="0"/>
                <w:i w:val="0"/>
                <w:color w:val="1A1A1A"/>
                <w:sz w:val="18"/>
              </w:rPr>
              <w:t>Festlegung bei 5 von 14 Banketten nicht belegt, alle mit alter Vorlage; andere Monate nicht geprüft</w:t>
            </w:r>
          </w:p>
        </w:tc>
      </w:tr>
      <w:tr>
        <w:trPr>
          <w:cantSplit w:val="true"/>
        </w:trPr>
        <w:tc>
          <w:tcPr>
            <w:tcW w:type="dxa" w:w="3213"/>
            <w:shd w:val="clear" w:color="auto" w:fill="F3EFE6"/>
          </w:tcPr>
          <w:p>
            <w:pPr>
              <w:spacing w:after="0" w:before="0"/>
            </w:pPr>
            <w:r/>
            <w:r>
              <w:rPr>
                <w:b w:val="0"/>
                <w:i w:val="0"/>
                <w:color w:val="1A1A1A"/>
                <w:sz w:val="18"/>
              </w:rPr>
              <w:t>Art</w:t>
            </w:r>
          </w:p>
        </w:tc>
        <w:tc>
          <w:tcPr>
            <w:tcW w:type="dxa" w:w="3213"/>
            <w:shd w:val="clear" w:color="auto" w:fill="F3EFE6"/>
          </w:tcPr>
          <w:p>
            <w:pPr>
              <w:spacing w:after="0" w:before="0"/>
            </w:pPr>
            <w:r/>
            <w:r>
              <w:rPr>
                <w:b w:val="0"/>
                <w:i w:val="0"/>
                <w:color w:val="1A1A1A"/>
                <w:sz w:val="18"/>
              </w:rPr>
              <w:t>Was folgt für das Haus?</w:t>
            </w:r>
          </w:p>
        </w:tc>
        <w:tc>
          <w:tcPr>
            <w:tcW w:type="dxa" w:w="3213"/>
            <w:shd w:val="clear" w:color="auto" w:fill="F3EFE6"/>
          </w:tcPr>
          <w:p>
            <w:pPr>
              <w:spacing w:after="0" w:before="0"/>
            </w:pPr>
            <w:r/>
            <w:r>
              <w:rPr>
                <w:b w:val="0"/>
                <w:i w:val="0"/>
                <w:color w:val="1A1A1A"/>
                <w:sz w:val="18"/>
              </w:rPr>
              <w:t>Nichtkonformität; Bearbeitung durch das Bankett (Band 8a, 2.12)</w:t>
            </w:r>
          </w:p>
        </w:tc>
      </w:tr>
    </w:tbl>
    <w:p>
      <w:pPr>
        <w:spacing w:after="40"/>
      </w:pPr>
    </w:p>
    <w:p>
      <w:pPr>
        <w:pStyle w:val="Heading2"/>
      </w:pPr>
      <w:r>
        <w:t>Praktische Anwendung: eine Feststellung in sieben Schritten schreiben</w:t>
      </w:r>
    </w:p>
    <w:p>
      <w:pPr>
        <w:tabs>
          <w:tab w:pos="340" w:val="left"/>
        </w:tabs>
        <w:ind w:left="340" w:hanging="340"/>
      </w:pPr>
      <w:r>
        <w:rPr>
          <w:b/>
          <w:color w:val="8C5A2B"/>
        </w:rPr>
        <w:t>1.</w:t>
        <w:tab/>
      </w:r>
      <w:r>
        <w:rPr>
          <w:b/>
        </w:rPr>
        <w:t>Das Kriterium zuerst aufschreiben.</w:t>
      </w:r>
      <w:r>
        <w:t xml:space="preserve"> Nennen Sie die Anforderung, gegen die Sie prüfen: Normabschnitt, Festlegung des Hauses, Pflicht aus dem Rechtskataster oder Zusage im Vertrag. Findet sich keine, ist es keine Feststellung.</w:t>
      </w:r>
    </w:p>
    <w:p>
      <w:pPr>
        <w:tabs>
          <w:tab w:pos="340" w:val="left"/>
        </w:tabs>
        <w:ind w:left="340" w:hanging="340"/>
      </w:pPr>
      <w:r>
        <w:rPr>
          <w:b/>
          <w:color w:val="8C5A2B"/>
        </w:rPr>
        <w:t>2.</w:t>
        <w:tab/>
      </w:r>
      <w:r>
        <w:rPr>
          <w:b/>
        </w:rPr>
        <w:t>Den Nachweis so notieren, dass ein Dritter ihn findet.</w:t>
      </w:r>
      <w:r>
        <w:t xml:space="preserve"> Ort, Datum, Uhrzeit, Dokument, Nummer des Fotos, Funktion der befragten Person. Schreiben Sie es an Ort und Stelle auf, nicht am Abend aus dem Gedächtnis.</w:t>
      </w:r>
    </w:p>
    <w:p>
      <w:pPr>
        <w:tabs>
          <w:tab w:pos="340" w:val="left"/>
        </w:tabs>
        <w:ind w:left="340" w:hanging="340"/>
      </w:pPr>
      <w:r>
        <w:rPr>
          <w:b/>
          <w:color w:val="8C5A2B"/>
        </w:rPr>
        <w:t>3.</w:t>
        <w:tab/>
      </w:r>
      <w:r>
        <w:rPr>
          <w:b/>
        </w:rPr>
        <w:t>Eine zweite Quelle suchen.</w:t>
      </w:r>
      <w:r>
        <w:t xml:space="preserve"> Halten Sie die Liste gegen den Dienstplan, die Aussage gegen die Beobachtung, die Unterschriften gegen die Abrechnung. Was sich nicht prüfen lässt, wird ein Hinweis für das nächste Audit.</w:t>
      </w:r>
    </w:p>
    <w:p>
      <w:pPr>
        <w:tabs>
          <w:tab w:pos="340" w:val="left"/>
        </w:tabs>
        <w:ind w:left="340" w:hanging="340"/>
      </w:pPr>
      <w:r>
        <w:rPr>
          <w:b/>
          <w:color w:val="8C5A2B"/>
        </w:rPr>
        <w:t>4.</w:t>
        <w:tab/>
      </w:r>
      <w:r>
        <w:rPr>
          <w:b/>
        </w:rPr>
        <w:t>Den Schluss auf die Reichweite des Nachweises begrenzen.</w:t>
      </w:r>
      <w:r>
        <w:t xml:space="preserve"> Eine Tonne trägt einen Satz über eine Tonne. Schreiben Sie dazu, was Sie nicht gesehen haben.</w:t>
      </w:r>
    </w:p>
    <w:p>
      <w:pPr>
        <w:tabs>
          <w:tab w:pos="340" w:val="left"/>
        </w:tabs>
        <w:ind w:left="340" w:hanging="340"/>
      </w:pPr>
      <w:r>
        <w:rPr>
          <w:b/>
          <w:color w:val="8C5A2B"/>
        </w:rPr>
        <w:t>5.</w:t>
        <w:tab/>
      </w:r>
      <w:r>
        <w:rPr>
          <w:b/>
        </w:rPr>
        <w:t>Die Art bestimmen.</w:t>
      </w:r>
      <w:r>
        <w:t xml:space="preserve"> Nichtkonformität, Beobachtung oder Stärke. Verwenden Sie Stufen wie «schwer» nur, wenn Ihr Haus festgelegt hat, was sie bedeuten.</w:t>
      </w:r>
    </w:p>
    <w:p>
      <w:pPr>
        <w:tabs>
          <w:tab w:pos="340" w:val="left"/>
        </w:tabs>
        <w:ind w:left="340" w:hanging="340"/>
      </w:pPr>
      <w:r>
        <w:rPr>
          <w:b/>
          <w:color w:val="8C5A2B"/>
        </w:rPr>
        <w:t>6.</w:t>
        <w:tab/>
      </w:r>
      <w:r>
        <w:rPr>
          <w:b/>
        </w:rPr>
        <w:t>Funktion statt Namen schreiben.</w:t>
      </w:r>
      <w:r>
        <w:t xml:space="preserve"> Die Feststellung richtet sich an einen Ablauf. Wer an Bar zwei stand, gehört nicht hinein.</w:t>
      </w:r>
    </w:p>
    <w:p>
      <w:pPr>
        <w:tabs>
          <w:tab w:pos="340" w:val="left"/>
        </w:tabs>
        <w:ind w:left="340" w:hanging="340"/>
      </w:pPr>
      <w:r>
        <w:rPr>
          <w:b/>
          <w:color w:val="8C5A2B"/>
        </w:rPr>
        <w:t>7.</w:t>
        <w:tab/>
      </w:r>
      <w:r>
        <w:rPr>
          <w:b/>
        </w:rPr>
        <w:t>Die Tatsachen vor dem Bericht durchsprechen.</w:t>
      </w:r>
      <w:r>
        <w:t xml:space="preserve"> Der Verantwortliche des Bereichs bestätigt oder widerlegt, was Sie gesehen haben. Zustimmen muss er der Schlussfolgerung nicht.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Kriterium zuerst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Den Nachweis so notieren, dass ein Dritter ihn findet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Eine zweite Quelle suchen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Schluss auf die Reichweite des Nachweises begrenzen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Art bestimmen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Funktion statt Namen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Tatsachen vor dem Bericht durchsprechen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Nennt jede Feststellung in unserem letzten Auditbericht ihr Kriterium?</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Könnte ein Dritter jeden Nachweis an Ort, Tag und Dokument wiederfinden?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Stützt sich jede Nichtkonformität auf mindestens eine prüfbare Quelle, möglichst auf zwei?</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Sagt jede Schlussfolgerung, wie weit sie reicht und was nicht geprüft wurde?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auch die Stärken Kriterium und Nachweis?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Hinweise und Fragen an die Leitung getrennt von den Feststellungen?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Kommen im Bericht Funktionen vor und keine Namen?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der Bereich die Tatsachen gehört, bevor der Bericht an die Leitung ging?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 Adjektiv statt eines Befunds schreiben.</w:t>
      </w:r>
      <w:r>
        <w:t xml:space="preserve"> «Mangelhaft» wird verteidigt, eine Tonne mit Uhrzeit wird geändert.</w:t>
      </w:r>
    </w:p>
    <w:p>
      <w:pPr>
        <w:tabs>
          <w:tab w:pos="340" w:val="left"/>
        </w:tabs>
        <w:ind w:left="340" w:hanging="340"/>
      </w:pPr>
      <w:r>
        <w:rPr>
          <w:color w:val="8C5A2B"/>
        </w:rPr>
        <w:t>–</w:t>
        <w:tab/>
      </w:r>
      <w:r>
        <w:rPr>
          <w:b/>
        </w:rPr>
        <w:t>Am eigenen Geschmack messen.</w:t>
      </w:r>
      <w:r>
        <w:t xml:space="preserve"> Ohne Kriterium bleibt der Satz eine Meinung, auch wenn sie richtig ist.</w:t>
      </w:r>
    </w:p>
    <w:p>
      <w:pPr>
        <w:tabs>
          <w:tab w:pos="340" w:val="left"/>
        </w:tabs>
        <w:ind w:left="340" w:hanging="340"/>
      </w:pPr>
      <w:r>
        <w:rPr>
          <w:color w:val="8C5A2B"/>
        </w:rPr>
        <w:t>–</w:t>
        <w:tab/>
      </w:r>
      <w:r>
        <w:rPr>
          <w:b/>
        </w:rPr>
        <w:t>Gehörtes ungeprüft weitergeben.</w:t>
      </w:r>
      <w:r>
        <w:t xml:space="preserve"> Ein Satz von der Kaffeemaschine wird im Bericht zum Gerücht mit Briefkopf.</w:t>
      </w:r>
    </w:p>
    <w:p>
      <w:pPr>
        <w:tabs>
          <w:tab w:pos="340" w:val="left"/>
        </w:tabs>
        <w:ind w:left="340" w:hanging="340"/>
      </w:pPr>
      <w:r>
        <w:rPr>
          <w:color w:val="8C5A2B"/>
        </w:rPr>
        <w:t>–</w:t>
        <w:tab/>
      </w:r>
      <w:r>
        <w:rPr>
          <w:b/>
        </w:rPr>
        <w:t>Von einer Stunde auf das Haus schließen.</w:t>
      </w:r>
      <w:r>
        <w:t xml:space="preserve"> Die Schlussfolgerung reicht so weit wie der Nachweis, nicht weiter.</w:t>
      </w:r>
    </w:p>
    <w:p>
      <w:pPr>
        <w:tabs>
          <w:tab w:pos="340" w:val="left"/>
        </w:tabs>
        <w:ind w:left="340" w:hanging="340"/>
      </w:pPr>
      <w:r>
        <w:rPr>
          <w:color w:val="8C5A2B"/>
        </w:rPr>
        <w:t>–</w:t>
        <w:tab/>
      </w:r>
      <w:r>
        <w:rPr>
          <w:b/>
        </w:rPr>
        <w:t>Die Person nennen statt des Ablaufs.</w:t>
      </w:r>
      <w:r>
        <w:t xml:space="preserve"> Der Bereich verteidigt dann einen Menschen und ändert nichts.</w:t>
      </w:r>
    </w:p>
    <w:p>
      <w:pPr>
        <w:tabs>
          <w:tab w:pos="340" w:val="left"/>
        </w:tabs>
        <w:ind w:left="340" w:hanging="340"/>
      </w:pPr>
      <w:r>
        <w:rPr>
          <w:color w:val="8C5A2B"/>
        </w:rPr>
        <w:t>–</w:t>
        <w:tab/>
      </w:r>
      <w:r>
        <w:rPr>
          <w:b/>
        </w:rPr>
        <w:t>Loben ohne Nachweis.</w:t>
      </w:r>
      <w:r>
        <w:t xml:space="preserve"> Das Haus erfährt nicht, was es bewahren soll, und ändert es beim nächsten Sparplan.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Audit: zwei Tage, davon ein Abend von 21 bis 0.30 Uhr</w:t>
            </w:r>
          </w:p>
        </w:tc>
        <w:tc>
          <w:tcPr>
            <w:tcW w:type="dxa" w:w="1474"/>
          </w:tcPr>
          <w:p>
            <w:pPr>
              <w:spacing w:after="0" w:before="0"/>
            </w:pPr>
            <w:r/>
            <w:r>
              <w:rPr>
                <w:b w:val="0"/>
                <w:i w:val="0"/>
                <w:color w:val="1A1A1A"/>
                <w:sz w:val="18"/>
              </w:rPr>
              <w:t>19,5 Stunden</w:t>
            </w:r>
          </w:p>
        </w:tc>
        <w:tc>
          <w:tcPr>
            <w:tcW w:type="dxa" w:w="3175"/>
          </w:tcPr>
          <w:p>
            <w:pPr>
              <w:spacing w:after="0" w:before="0"/>
            </w:pPr>
            <w:r/>
            <w:r>
              <w:rPr>
                <w:b w:val="0"/>
                <w:i w:val="0"/>
                <w:color w:val="1A1A1A"/>
                <w:sz w:val="18"/>
              </w:rPr>
              <w:t>Leiter Empfang im Kreuzaudit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Überarbeitung: 12 Sätze zu 25 Minuten</w:t>
            </w:r>
          </w:p>
        </w:tc>
        <w:tc>
          <w:tcPr>
            <w:tcW w:type="dxa" w:w="1474"/>
            <w:shd w:val="clear" w:color="auto" w:fill="F3EFE6"/>
          </w:tcPr>
          <w:p>
            <w:pPr>
              <w:spacing w:after="0" w:before="0"/>
            </w:pPr>
            <w:r/>
            <w:r>
              <w:rPr>
                <w:b w:val="0"/>
                <w:i w:val="0"/>
                <w:color w:val="1A1A1A"/>
                <w:sz w:val="18"/>
              </w:rPr>
              <w:t>5 Stunden</w:t>
            </w:r>
          </w:p>
        </w:tc>
        <w:tc>
          <w:tcPr>
            <w:tcW w:type="dxa" w:w="3175"/>
            <w:shd w:val="clear" w:color="auto" w:fill="F3EFE6"/>
          </w:tcPr>
          <w:p>
            <w:pPr>
              <w:spacing w:after="0" w:before="0"/>
            </w:pPr>
            <w:r/>
            <w:r>
              <w:rPr>
                <w:b w:val="0"/>
                <w:i w:val="0"/>
                <w:color w:val="1A1A1A"/>
                <w:sz w:val="18"/>
              </w:rPr>
              <w:t>einmalig, im Fall bis Mittwoch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Durchsprache der Tatsachen: 3 Personen zu 1 Stunde</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Direktorin, Bankettleiterin, 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Summe Arbeitszeit: 27,5 Stunden zu € 38</w:t>
            </w:r>
          </w:p>
        </w:tc>
        <w:tc>
          <w:tcPr>
            <w:tcW w:type="dxa" w:w="1474"/>
            <w:shd w:val="clear" w:color="auto" w:fill="F3EFE6"/>
          </w:tcPr>
          <w:p>
            <w:pPr>
              <w:spacing w:after="0" w:before="0"/>
            </w:pPr>
            <w:r/>
            <w:r>
              <w:rPr>
                <w:b w:val="0"/>
                <w:i w:val="0"/>
                <w:color w:val="1A1A1A"/>
                <w:sz w:val="18"/>
              </w:rPr>
              <w:t>€ 1.045</w:t>
            </w:r>
          </w:p>
        </w:tc>
        <w:tc>
          <w:tcPr>
            <w:tcW w:type="dxa" w:w="3175"/>
            <w:shd w:val="clear" w:color="auto" w:fill="F3EFE6"/>
          </w:tcPr>
          <w:p>
            <w:pPr>
              <w:spacing w:after="0" w:before="0"/>
            </w:pPr>
            <w:r/>
            <w:r>
              <w:rPr>
                <w:b w:val="0"/>
                <w:i w:val="0"/>
                <w:color w:val="1A1A1A"/>
                <w:sz w:val="18"/>
              </w:rPr>
              <w:t>interner Stundensatz der Annahme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Leerung einer fehlbefüllten Biotonne als Restmüll</w:t>
            </w:r>
          </w:p>
        </w:tc>
        <w:tc>
          <w:tcPr>
            <w:tcW w:type="dxa" w:w="1474"/>
          </w:tcPr>
          <w:p>
            <w:pPr>
              <w:spacing w:after="0" w:before="0"/>
            </w:pPr>
            <w:r/>
            <w:r>
              <w:rPr>
                <w:b w:val="0"/>
                <w:i w:val="0"/>
                <w:color w:val="1A1A1A"/>
                <w:sz w:val="18"/>
              </w:rPr>
              <w:t>€ 85</w:t>
            </w:r>
          </w:p>
        </w:tc>
        <w:tc>
          <w:tcPr>
            <w:tcW w:type="dxa" w:w="3175"/>
          </w:tcPr>
          <w:p>
            <w:pPr>
              <w:spacing w:after="0" w:before="0"/>
            </w:pPr>
            <w:r/>
            <w:r>
              <w:rPr>
                <w:b w:val="0"/>
                <w:i w:val="0"/>
                <w:color w:val="1A1A1A"/>
                <w:sz w:val="18"/>
              </w:rPr>
              <w:t>je Vorfall, Gebühr der Annahme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Suche nach einer Feststellung ohne Ort: 2 Personen zu 3 Stunden</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Annahme; Bankett und Küche suchen, was gemeint war</w:t>
            </w:r>
          </w:p>
        </w:tc>
        <w:tc>
          <w:tcPr>
            <w:tcW w:type="dxa" w:w="1814"/>
            <w:shd w:val="clear" w:color="auto" w:fill="F3EFE6"/>
          </w:tcPr>
          <w:p>
            <w:pPr>
              <w:spacing w:after="0" w:before="0"/>
            </w:pPr>
            <w:r/>
            <w:r>
              <w:rPr>
                <w:b w:val="0"/>
                <w:i w:val="0"/>
                <w:color w:val="1A1A1A"/>
                <w:sz w:val="18"/>
              </w:rPr>
            </w:r>
          </w:p>
        </w:tc>
      </w:tr>
    </w:tbl>
    <w:p>
      <w:pPr>
        <w:spacing w:after="40"/>
      </w:pPr>
    </w:p>
    <w:p>
      <w:r>
        <w:rPr>
          <w:b w:val="0"/>
          <w:i w:val="0"/>
        </w:rPr>
        <w:t>Stunden und Euro sind nur in der Zeile verbunden, die den Stundensatz nennt. Die fünf Stunden der Überarbeitung kosten weniger als eine Feststellung, nach der zwei Abteilungen suchen müssen. Gewicht bekommt die Biotonne nicht durch die Gebühr, sondern erst, wenn sich zeigt, ob sie wiederkehrt.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Konformität mit eigenen Anforderungen und der Norm prüfen (9.2.1 a)</w:t>
            </w:r>
          </w:p>
        </w:tc>
        <w:tc>
          <w:tcPr>
            <w:tcW w:type="dxa" w:w="3175"/>
          </w:tcPr>
          <w:p>
            <w:pPr>
              <w:spacing w:after="0" w:before="0"/>
            </w:pPr>
            <w:r/>
            <w:r>
              <w:rPr>
                <w:b w:val="0"/>
                <w:i w:val="0"/>
                <w:color w:val="1A1A1A"/>
                <w:sz w:val="18"/>
              </w:rPr>
              <w:t>Auditplan mit fünf Festlegungen des Ablaufplans als Kriterien</w:t>
            </w:r>
          </w:p>
        </w:tc>
        <w:tc>
          <w:tcPr>
            <w:tcW w:type="dxa" w:w="3175"/>
          </w:tcPr>
          <w:p>
            <w:pPr>
              <w:spacing w:after="0" w:before="0"/>
            </w:pPr>
            <w:r/>
            <w:r>
              <w:rPr>
                <w:b w:val="0"/>
                <w:i w:val="0"/>
                <w:color w:val="1A1A1A"/>
                <w:sz w:val="18"/>
              </w:rPr>
              <w:t>Methode: Kriterium in jeder Feststellung wörtlich nennen</w:t>
            </w:r>
          </w:p>
        </w:tc>
      </w:tr>
      <w:tr>
        <w:trPr>
          <w:cantSplit w:val="true"/>
        </w:trPr>
        <w:tc>
          <w:tcPr>
            <w:tcW w:type="dxa" w:w="3288"/>
            <w:shd w:val="clear" w:color="auto" w:fill="F3EFE6"/>
          </w:tcPr>
          <w:p>
            <w:pPr>
              <w:spacing w:after="0" w:before="0"/>
            </w:pPr>
            <w:r/>
            <w:r>
              <w:rPr>
                <w:b w:val="0"/>
                <w:i w:val="0"/>
                <w:color w:val="1A1A1A"/>
                <w:sz w:val="18"/>
              </w:rPr>
              <w:t>Prüfen, ob wirksam verwirklicht (9.2.1 b)</w:t>
            </w:r>
          </w:p>
        </w:tc>
        <w:tc>
          <w:tcPr>
            <w:tcW w:type="dxa" w:w="3175"/>
            <w:shd w:val="clear" w:color="auto" w:fill="F3EFE6"/>
          </w:tcPr>
          <w:p>
            <w:pPr>
              <w:spacing w:after="0" w:before="0"/>
            </w:pPr>
            <w:r/>
            <w:r>
              <w:rPr>
                <w:b w:val="0"/>
                <w:i w:val="0"/>
                <w:color w:val="1A1A1A"/>
                <w:sz w:val="18"/>
              </w:rPr>
              <w:t>Beobachtungen am Freitagabend mit Uhrzeit und Foto</w:t>
            </w:r>
          </w:p>
        </w:tc>
        <w:tc>
          <w:tcPr>
            <w:tcW w:type="dxa" w:w="3175"/>
            <w:shd w:val="clear" w:color="auto" w:fill="F3EFE6"/>
          </w:tcPr>
          <w:p>
            <w:pPr>
              <w:spacing w:after="0" w:before="0"/>
            </w:pPr>
            <w:r/>
            <w:r>
              <w:rPr>
                <w:b w:val="0"/>
                <w:i w:val="0"/>
                <w:color w:val="1A1A1A"/>
                <w:sz w:val="18"/>
              </w:rPr>
              <w:t>ISO 19011:2026: faktengestützter Ansatz</w:t>
            </w:r>
          </w:p>
        </w:tc>
      </w:tr>
      <w:tr>
        <w:trPr>
          <w:cantSplit w:val="true"/>
        </w:trPr>
        <w:tc>
          <w:tcPr>
            <w:tcW w:type="dxa" w:w="3288"/>
          </w:tcPr>
          <w:p>
            <w:pPr>
              <w:spacing w:after="0" w:before="0"/>
            </w:pPr>
            <w:r/>
            <w:r>
              <w:rPr>
                <w:b w:val="0"/>
                <w:i w:val="0"/>
                <w:color w:val="1A1A1A"/>
                <w:sz w:val="18"/>
              </w:rPr>
              <w:t>Ziele, Kriterien und Umfang je Audit festlegen (9.2.2)</w:t>
            </w:r>
          </w:p>
        </w:tc>
        <w:tc>
          <w:tcPr>
            <w:tcW w:type="dxa" w:w="3175"/>
          </w:tcPr>
          <w:p>
            <w:pPr>
              <w:spacing w:after="0" w:before="0"/>
            </w:pPr>
            <w:r/>
            <w:r>
              <w:rPr>
                <w:b w:val="0"/>
                <w:i w:val="0"/>
                <w:color w:val="1A1A1A"/>
                <w:sz w:val="18"/>
              </w:rPr>
              <w:t>Auditplan: Bankett, zwei Tage, eine Feier am Abend</w:t>
            </w:r>
          </w:p>
        </w:tc>
        <w:tc>
          <w:tcPr>
            <w:tcW w:type="dxa" w:w="3175"/>
          </w:tcPr>
          <w:p>
            <w:pPr>
              <w:spacing w:after="0" w:before="0"/>
            </w:pPr>
            <w:r/>
            <w:r>
              <w:rPr>
                <w:b w:val="0"/>
                <w:i w:val="0"/>
                <w:color w:val="1A1A1A"/>
                <w:sz w:val="18"/>
              </w:rPr>
              <w:t>Methode: Reichweite in jeder Schlussfolgerung nennen</w:t>
            </w:r>
          </w:p>
        </w:tc>
      </w:tr>
      <w:tr>
        <w:trPr>
          <w:cantSplit w:val="true"/>
        </w:trPr>
        <w:tc>
          <w:tcPr>
            <w:tcW w:type="dxa" w:w="3288"/>
            <w:shd w:val="clear" w:color="auto" w:fill="F3EFE6"/>
          </w:tcPr>
          <w:p>
            <w:pPr>
              <w:spacing w:after="0" w:before="0"/>
            </w:pPr>
            <w:r/>
            <w:r>
              <w:rPr>
                <w:b w:val="0"/>
                <w:i w:val="0"/>
                <w:color w:val="1A1A1A"/>
                <w:sz w:val="18"/>
              </w:rPr>
              <w:t>Objektivität und Unparteilichkeit wahren (9.2.2)</w:t>
            </w:r>
          </w:p>
        </w:tc>
        <w:tc>
          <w:tcPr>
            <w:tcW w:type="dxa" w:w="3175"/>
            <w:shd w:val="clear" w:color="auto" w:fill="F3EFE6"/>
          </w:tcPr>
          <w:p>
            <w:pPr>
              <w:spacing w:after="0" w:before="0"/>
            </w:pPr>
            <w:r/>
            <w:r>
              <w:rPr>
                <w:b w:val="0"/>
                <w:i w:val="0"/>
                <w:color w:val="1A1A1A"/>
                <w:sz w:val="18"/>
              </w:rPr>
              <w:t>Kreuzaudit Empfang und Bankett</w:t>
            </w:r>
          </w:p>
        </w:tc>
        <w:tc>
          <w:tcPr>
            <w:tcW w:type="dxa" w:w="3175"/>
            <w:shd w:val="clear" w:color="auto" w:fill="F3EFE6"/>
          </w:tcPr>
          <w:p>
            <w:pPr>
              <w:spacing w:after="0" w:before="0"/>
            </w:pPr>
            <w:r/>
            <w:r>
              <w:rPr>
                <w:b w:val="0"/>
                <w:i w:val="0"/>
                <w:color w:val="1A1A1A"/>
                <w:sz w:val="18"/>
              </w:rPr>
              <w:t>A.21: nicht die eigene Arbeit prüfen</w:t>
            </w:r>
          </w:p>
        </w:tc>
      </w:tr>
      <w:tr>
        <w:trPr>
          <w:cantSplit w:val="true"/>
        </w:trPr>
        <w:tc>
          <w:tcPr>
            <w:tcW w:type="dxa" w:w="3288"/>
          </w:tcPr>
          <w:p>
            <w:pPr>
              <w:spacing w:after="0" w:before="0"/>
            </w:pPr>
            <w:r/>
            <w:r>
              <w:rPr>
                <w:b w:val="0"/>
                <w:i w:val="0"/>
                <w:color w:val="1A1A1A"/>
                <w:sz w:val="18"/>
              </w:rPr>
              <w:t>Ergebnisse an die zuständige Leitung berichten (9.2.2)</w:t>
            </w:r>
          </w:p>
        </w:tc>
        <w:tc>
          <w:tcPr>
            <w:tcW w:type="dxa" w:w="3175"/>
          </w:tcPr>
          <w:p>
            <w:pPr>
              <w:spacing w:after="0" w:before="0"/>
            </w:pPr>
            <w:r/>
            <w:r>
              <w:rPr>
                <w:b w:val="0"/>
                <w:i w:val="0"/>
                <w:color w:val="1A1A1A"/>
                <w:sz w:val="18"/>
              </w:rPr>
              <w:t>Bericht an die Direktorin mit neun Feststellungen</w:t>
            </w:r>
          </w:p>
        </w:tc>
        <w:tc>
          <w:tcPr>
            <w:tcW w:type="dxa" w:w="3175"/>
          </w:tcPr>
          <w:p>
            <w:pPr>
              <w:spacing w:after="0" w:before="0"/>
            </w:pPr>
            <w:r/>
            <w:r>
              <w:rPr>
                <w:b w:val="0"/>
                <w:i w:val="0"/>
                <w:color w:val="1A1A1A"/>
                <w:sz w:val="18"/>
              </w:rPr>
              <w:t>Methode: Nichtkonformität, Beobachtung, Stärke; Hinweise getrennt</w:t>
            </w:r>
          </w:p>
        </w:tc>
      </w:tr>
      <w:tr>
        <w:trPr>
          <w:cantSplit w:val="true"/>
        </w:trPr>
        <w:tc>
          <w:tcPr>
            <w:tcW w:type="dxa" w:w="3288"/>
            <w:shd w:val="clear" w:color="auto" w:fill="F3EFE6"/>
          </w:tcPr>
          <w:p>
            <w:pPr>
              <w:spacing w:after="0" w:before="0"/>
            </w:pPr>
            <w:r/>
            <w:r>
              <w:rPr>
                <w:b w:val="0"/>
                <w:i w:val="0"/>
                <w:color w:val="1A1A1A"/>
                <w:sz w:val="18"/>
              </w:rPr>
              <w:t>Nichtkonformitäten bearbeiten und dokumentieren (10.2)</w:t>
            </w:r>
          </w:p>
        </w:tc>
        <w:tc>
          <w:tcPr>
            <w:tcW w:type="dxa" w:w="3175"/>
            <w:shd w:val="clear" w:color="auto" w:fill="F3EFE6"/>
          </w:tcPr>
          <w:p>
            <w:pPr>
              <w:spacing w:after="0" w:before="0"/>
            </w:pPr>
            <w:r/>
            <w:r>
              <w:rPr>
                <w:b w:val="0"/>
                <w:i w:val="0"/>
                <w:color w:val="1A1A1A"/>
                <w:sz w:val="18"/>
              </w:rPr>
              <w:t>Blatt je Nichtkonformität mit der Nummer der Feststellung</w:t>
            </w:r>
          </w:p>
        </w:tc>
        <w:tc>
          <w:tcPr>
            <w:tcW w:type="dxa" w:w="3175"/>
            <w:shd w:val="clear" w:color="auto" w:fill="F3EFE6"/>
          </w:tcPr>
          <w:p>
            <w:pPr>
              <w:spacing w:after="0" w:before="0"/>
            </w:pPr>
            <w:r/>
            <w:r>
              <w:rPr>
                <w:b w:val="0"/>
                <w:i w:val="0"/>
                <w:color w:val="1A1A1A"/>
                <w:sz w:val="18"/>
              </w:rPr>
              <w:t>ISO 19011: Auditnachweis, Auditfeststellung, Auditschlussfolgerung</w:t>
            </w:r>
          </w:p>
        </w:tc>
      </w:tr>
    </w:tbl>
    <w:p>
      <w:pPr>
        <w:spacing w:after="40"/>
      </w:pPr>
    </w:p>
    <w:p>
      <w:pPr>
        <w:pStyle w:val="Heading2"/>
      </w:pPr>
      <w:r>
        <w:t>DACH-Anker: wenn eine Feststellung Recht oder Personen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Speisereste getrennt sammeln</w:t>
            </w:r>
          </w:p>
        </w:tc>
        <w:tc>
          <w:tcPr>
            <w:tcW w:type="dxa" w:w="2721"/>
          </w:tcPr>
          <w:p>
            <w:pPr>
              <w:spacing w:after="0" w:before="0"/>
            </w:pPr>
            <w:r/>
            <w:r>
              <w:rPr>
                <w:b w:val="0"/>
                <w:i w:val="0"/>
                <w:color w:val="1A1A1A"/>
                <w:sz w:val="17"/>
              </w:rPr>
              <w:t>Bioabfälle getrennt; Dokumentation etwa mit Lichtbildern oder Wiegebelegen (§ 3 GewAbfV)</w:t>
            </w:r>
          </w:p>
        </w:tc>
        <w:tc>
          <w:tcPr>
            <w:tcW w:type="dxa" w:w="2721"/>
          </w:tcPr>
          <w:p>
            <w:pPr>
              <w:spacing w:after="0" w:before="0"/>
            </w:pPr>
            <w:r/>
            <w:r>
              <w:rPr>
                <w:b w:val="0"/>
                <w:i w:val="0"/>
                <w:color w:val="1A1A1A"/>
                <w:sz w:val="17"/>
              </w:rPr>
              <w:t>getrennte Bereitstellung biogener Abfälle (BGBl. Nr. 68/1992); Vorgaben der Gemeinde</w:t>
            </w:r>
          </w:p>
        </w:tc>
        <w:tc>
          <w:tcPr>
            <w:tcW w:type="dxa" w:w="2721"/>
          </w:tcPr>
          <w:p>
            <w:pPr>
              <w:spacing w:after="0" w:before="0"/>
            </w:pPr>
            <w:r/>
            <w:r>
              <w:rPr>
                <w:b w:val="0"/>
                <w:i w:val="0"/>
                <w:color w:val="1A1A1A"/>
                <w:sz w:val="17"/>
              </w:rPr>
              <w:t>kantonales und kommunales Abfallrecht</w:t>
            </w:r>
          </w:p>
        </w:tc>
      </w:tr>
      <w:tr>
        <w:trPr>
          <w:cantSplit w:val="true"/>
        </w:trPr>
        <w:tc>
          <w:tcPr>
            <w:tcW w:type="dxa" w:w="1474"/>
            <w:shd w:val="clear" w:color="auto" w:fill="F3EFE6"/>
          </w:tcPr>
          <w:p>
            <w:pPr>
              <w:spacing w:after="0" w:before="0"/>
            </w:pPr>
            <w:r/>
            <w:r>
              <w:rPr>
                <w:b w:val="0"/>
                <w:i w:val="0"/>
                <w:color w:val="1A1A1A"/>
                <w:sz w:val="17"/>
              </w:rPr>
              <w:t>Einweisung überlassener Kräfte</w:t>
            </w:r>
          </w:p>
        </w:tc>
        <w:tc>
          <w:tcPr>
            <w:tcW w:type="dxa" w:w="2721"/>
            <w:shd w:val="clear" w:color="auto" w:fill="F3EFE6"/>
          </w:tcPr>
          <w:p>
            <w:pPr>
              <w:spacing w:after="0" w:before="0"/>
            </w:pPr>
            <w:r/>
            <w:r>
              <w:rPr>
                <w:b w:val="0"/>
                <w:i w:val="0"/>
                <w:color w:val="1A1A1A"/>
                <w:sz w:val="17"/>
              </w:rPr>
              <w:t>Unterweisung vor Aufnahme der Tätigkeit; bei Überlassung trifft sie den Entleiher (§ 12 ArbSchG)</w:t>
            </w:r>
          </w:p>
        </w:tc>
        <w:tc>
          <w:tcPr>
            <w:tcW w:type="dxa" w:w="2721"/>
            <w:shd w:val="clear" w:color="auto" w:fill="F3EFE6"/>
          </w:tcPr>
          <w:p>
            <w:pPr>
              <w:spacing w:after="0" w:before="0"/>
            </w:pPr>
            <w:r/>
            <w:r>
              <w:rPr>
                <w:b w:val="0"/>
                <w:i w:val="0"/>
                <w:color w:val="1A1A1A"/>
                <w:sz w:val="17"/>
              </w:rPr>
              <w:t>Unterweisung vor Aufnahme der Tätigkeit, nachweislich, in verständlicher Sprache (§ 14 ASchG)</w:t>
            </w:r>
          </w:p>
        </w:tc>
        <w:tc>
          <w:tcPr>
            <w:tcW w:type="dxa" w:w="2721"/>
            <w:shd w:val="clear" w:color="auto" w:fill="F3EFE6"/>
          </w:tcPr>
          <w:p>
            <w:pPr>
              <w:spacing w:after="0" w:before="0"/>
            </w:pPr>
            <w:r/>
            <w:r>
              <w:rPr>
                <w:b w:val="0"/>
                <w:i w:val="0"/>
                <w:color w:val="1A1A1A"/>
                <w:sz w:val="17"/>
              </w:rPr>
              <w:t>Information und Anleitung auch für Arbeitnehmer anderer Betriebe (Art. 6 Abs. 1 VUV)</w:t>
            </w:r>
          </w:p>
        </w:tc>
      </w:tr>
      <w:tr>
        <w:trPr>
          <w:cantSplit w:val="true"/>
        </w:trPr>
        <w:tc>
          <w:tcPr>
            <w:tcW w:type="dxa" w:w="1474"/>
          </w:tcPr>
          <w:p>
            <w:pPr>
              <w:spacing w:after="0" w:before="0"/>
            </w:pPr>
            <w:r/>
            <w:r>
              <w:rPr>
                <w:b w:val="0"/>
                <w:i w:val="0"/>
                <w:color w:val="1A1A1A"/>
                <w:sz w:val="17"/>
              </w:rPr>
              <w:t>Fotos als Nachweis</w:t>
            </w:r>
          </w:p>
        </w:tc>
        <w:tc>
          <w:tcPr>
            <w:tcW w:type="dxa" w:w="2721"/>
          </w:tcPr>
          <w:p>
            <w:pPr>
              <w:spacing w:after="0" w:before="0"/>
            </w:pPr>
            <w:r/>
            <w:r>
              <w:rPr>
                <w:b w:val="0"/>
                <w:i w:val="0"/>
                <w:color w:val="1A1A1A"/>
                <w:sz w:val="17"/>
              </w:rPr>
              <w:t>DSGVO, wenn Personen erkennbar sind</w:t>
            </w:r>
          </w:p>
        </w:tc>
        <w:tc>
          <w:tcPr>
            <w:tcW w:type="dxa" w:w="2721"/>
          </w:tcPr>
          <w:p>
            <w:pPr>
              <w:spacing w:after="0" w:before="0"/>
            </w:pPr>
            <w:r/>
            <w:r>
              <w:rPr>
                <w:b w:val="0"/>
                <w:i w:val="0"/>
                <w:color w:val="1A1A1A"/>
                <w:sz w:val="17"/>
              </w:rPr>
              <w:t>DSGVO, wenn Personen erkennbar sind</w:t>
            </w:r>
          </w:p>
        </w:tc>
        <w:tc>
          <w:tcPr>
            <w:tcW w:type="dxa" w:w="2721"/>
          </w:tcPr>
          <w:p>
            <w:pPr>
              <w:spacing w:after="0" w:before="0"/>
            </w:pPr>
            <w:r/>
            <w:r>
              <w:rPr>
                <w:b w:val="0"/>
                <w:i w:val="0"/>
                <w:color w:val="1A1A1A"/>
                <w:sz w:val="17"/>
              </w:rPr>
              <w:t>Datenschutzgesetz, revidiert, seit 1. September 2023</w:t>
            </w:r>
          </w:p>
        </w:tc>
      </w:tr>
      <w:tr>
        <w:trPr>
          <w:cantSplit w:val="true"/>
        </w:trPr>
        <w:tc>
          <w:tcPr>
            <w:tcW w:type="dxa" w:w="1474"/>
            <w:shd w:val="clear" w:color="auto" w:fill="F3EFE6"/>
          </w:tcPr>
          <w:p>
            <w:pPr>
              <w:spacing w:after="0" w:before="0"/>
            </w:pPr>
            <w:r/>
            <w:r>
              <w:rPr>
                <w:b w:val="0"/>
                <w:i w:val="0"/>
                <w:color w:val="1A1A1A"/>
                <w:sz w:val="17"/>
              </w:rPr>
              <w:t>Namen im Bericht</w:t>
            </w:r>
          </w:p>
        </w:tc>
        <w:tc>
          <w:tcPr>
            <w:tcW w:type="dxa" w:w="2721"/>
            <w:shd w:val="clear" w:color="auto" w:fill="F3EFE6"/>
          </w:tcPr>
          <w:p>
            <w:pPr>
              <w:spacing w:after="0" w:before="0"/>
            </w:pPr>
            <w:r/>
            <w:r>
              <w:rPr>
                <w:b w:val="0"/>
                <w:i w:val="0"/>
                <w:color w:val="1A1A1A"/>
                <w:sz w:val="17"/>
              </w:rPr>
              <w:t>DSGVO: nur so viele Daten wie nötig (Art. 5)</w:t>
            </w:r>
          </w:p>
        </w:tc>
        <w:tc>
          <w:tcPr>
            <w:tcW w:type="dxa" w:w="2721"/>
            <w:shd w:val="clear" w:color="auto" w:fill="F3EFE6"/>
          </w:tcPr>
          <w:p>
            <w:pPr>
              <w:spacing w:after="0" w:before="0"/>
            </w:pPr>
            <w:r/>
            <w:r>
              <w:rPr>
                <w:b w:val="0"/>
                <w:i w:val="0"/>
                <w:color w:val="1A1A1A"/>
                <w:sz w:val="17"/>
              </w:rPr>
              <w:t>DSGVO: ebenso</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Entscheidung über einen Rechtsverstoß</w:t>
            </w:r>
          </w:p>
        </w:tc>
        <w:tc>
          <w:tcPr>
            <w:tcW w:type="dxa" w:w="2721"/>
          </w:tcPr>
          <w:p>
            <w:pPr>
              <w:spacing w:after="0" w:before="0"/>
            </w:pPr>
            <w:r/>
            <w:r>
              <w:rPr>
                <w:b w:val="0"/>
                <w:i w:val="0"/>
                <w:color w:val="1A1A1A"/>
                <w:sz w:val="17"/>
              </w:rPr>
              <w:t>Behörde oder Gericht; der Auditor hält fest, was er sah</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ebenso</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3.10.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3.10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3.10 — Eine Feststellung schreiben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