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3.11</w:t>
      </w:r>
    </w:p>
    <w:p>
      <w:pPr>
        <w:pStyle w:val="Heading1"/>
      </w:pPr>
      <w:r>
        <w:t>Eine wiederkehrende Feststellung auf ihre Ursache zurückführen, mit ähnlichen Fällen</w:t>
      </w:r>
    </w:p>
    <w:p>
      <w:pPr>
        <w:spacing w:after="0"/>
      </w:pPr>
      <w:r>
        <w:rPr>
          <w:b w:val="0"/>
          <w:i/>
          <w:color w:val="5A5A5A"/>
        </w:rPr>
        <w:t>Abschnitt 3.11 · Ursachenanalyse: warum es beim nächsten Fest wieder geschieht</w:t>
      </w:r>
    </w:p>
    <w:p>
      <w:pPr>
        <w:spacing w:after="160"/>
      </w:pPr>
      <w:r>
        <w:rPr>
          <w:b w:val="0"/>
          <w:i w:val="0"/>
          <w:color w:val="5A5A5A"/>
          <w:sz w:val="18"/>
        </w:rPr>
        <w:t>Modellfall im Buch: Bad Ischl</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Steht in Ihrem letzten Auditbericht eine Feststellung, die Sie schon einmal gelesen haben? Und was stand damals auf dem Blatt, mit dem sie geschlossen wurde: eine Ursache, oder ein Satz wie «Mitarbeiter geschult»?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Die Warum-Kette aus Bad Ischl</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Frage</w:t>
            </w:r>
          </w:p>
        </w:tc>
        <w:tc>
          <w:tcPr>
            <w:tcW w:type="dxa" w:w="3213"/>
            <w:shd w:val="clear" w:color="auto" w:fill="8C5A2B"/>
          </w:tcPr>
          <w:p>
            <w:pPr>
              <w:spacing w:after="0" w:before="0"/>
            </w:pPr>
            <w:r/>
            <w:r>
              <w:rPr>
                <w:b/>
                <w:i w:val="0"/>
                <w:color w:val="FFFFFF"/>
                <w:sz w:val="18"/>
              </w:rPr>
              <w:t>Antwort</w:t>
            </w:r>
          </w:p>
        </w:tc>
        <w:tc>
          <w:tcPr>
            <w:tcW w:type="dxa" w:w="3213"/>
            <w:shd w:val="clear" w:color="auto" w:fill="8C5A2B"/>
          </w:tcPr>
          <w:p>
            <w:pPr>
              <w:spacing w:after="0" w:before="0"/>
            </w:pPr>
            <w:r/>
            <w:r>
              <w:rPr>
                <w:b/>
                <w:i w:val="0"/>
                <w:color w:val="FFFFFF"/>
                <w:sz w:val="18"/>
              </w:rPr>
              <w:t>Beleg</w:t>
            </w:r>
          </w:p>
        </w:tc>
      </w:tr>
      <w:tr>
        <w:trPr>
          <w:cantSplit w:val="true"/>
        </w:trPr>
        <w:tc>
          <w:tcPr>
            <w:tcW w:type="dxa" w:w="3213"/>
          </w:tcPr>
          <w:p>
            <w:pPr>
              <w:spacing w:after="0" w:before="0"/>
            </w:pPr>
            <w:r/>
            <w:r>
              <w:rPr>
                <w:b w:val="0"/>
                <w:i w:val="0"/>
                <w:color w:val="1A1A1A"/>
                <w:sz w:val="18"/>
              </w:rPr>
              <w:t>Warum bleibt bei Hochzeiten mehr übrig?</w:t>
            </w:r>
          </w:p>
        </w:tc>
        <w:tc>
          <w:tcPr>
            <w:tcW w:type="dxa" w:w="3213"/>
          </w:tcPr>
          <w:p>
            <w:pPr>
              <w:spacing w:after="0" w:before="0"/>
            </w:pPr>
            <w:r/>
            <w:r>
              <w:rPr>
                <w:b w:val="0"/>
                <w:i w:val="0"/>
                <w:color w:val="1A1A1A"/>
                <w:sz w:val="18"/>
              </w:rPr>
              <w:t>Es wird für mehr Gäste gekocht, als kommen.</w:t>
            </w:r>
          </w:p>
        </w:tc>
        <w:tc>
          <w:tcPr>
            <w:tcW w:type="dxa" w:w="3213"/>
          </w:tcPr>
          <w:p>
            <w:pPr>
              <w:spacing w:after="0" w:before="0"/>
            </w:pPr>
            <w:r/>
            <w:r>
              <w:rPr>
                <w:b w:val="0"/>
                <w:i w:val="0"/>
                <w:color w:val="1A1A1A"/>
                <w:sz w:val="18"/>
              </w:rPr>
              <w:t>Produktionsblatt 118 Portionen, Sitzplan 97 Gäste</w:t>
            </w:r>
          </w:p>
        </w:tc>
      </w:tr>
      <w:tr>
        <w:trPr>
          <w:cantSplit w:val="true"/>
        </w:trPr>
        <w:tc>
          <w:tcPr>
            <w:tcW w:type="dxa" w:w="3213"/>
            <w:shd w:val="clear" w:color="auto" w:fill="F3EFE6"/>
          </w:tcPr>
          <w:p>
            <w:pPr>
              <w:spacing w:after="0" w:before="0"/>
            </w:pPr>
            <w:r/>
            <w:r>
              <w:rPr>
                <w:b w:val="0"/>
                <w:i w:val="0"/>
                <w:color w:val="1A1A1A"/>
                <w:sz w:val="18"/>
              </w:rPr>
              <w:t>Warum wird für mehr gekocht?</w:t>
            </w:r>
          </w:p>
        </w:tc>
        <w:tc>
          <w:tcPr>
            <w:tcW w:type="dxa" w:w="3213"/>
            <w:shd w:val="clear" w:color="auto" w:fill="F3EFE6"/>
          </w:tcPr>
          <w:p>
            <w:pPr>
              <w:spacing w:after="0" w:before="0"/>
            </w:pPr>
            <w:r/>
            <w:r>
              <w:rPr>
                <w:b w:val="0"/>
                <w:i w:val="0"/>
                <w:color w:val="1A1A1A"/>
                <w:sz w:val="18"/>
              </w:rPr>
              <w:t>Die Küche plant nach der Zahl im Bankettformular.</w:t>
            </w:r>
          </w:p>
        </w:tc>
        <w:tc>
          <w:tcPr>
            <w:tcW w:type="dxa" w:w="3213"/>
            <w:shd w:val="clear" w:color="auto" w:fill="F3EFE6"/>
          </w:tcPr>
          <w:p>
            <w:pPr>
              <w:spacing w:after="0" w:before="0"/>
            </w:pPr>
            <w:r/>
            <w:r>
              <w:rPr>
                <w:b w:val="0"/>
                <w:i w:val="0"/>
                <w:color w:val="1A1A1A"/>
                <w:sz w:val="18"/>
              </w:rPr>
              <w:t>Formular am Brett der Küche, Bestellung am Montag der Vorwoche</w:t>
            </w:r>
          </w:p>
        </w:tc>
      </w:tr>
      <w:tr>
        <w:trPr>
          <w:cantSplit w:val="true"/>
        </w:trPr>
        <w:tc>
          <w:tcPr>
            <w:tcW w:type="dxa" w:w="3213"/>
          </w:tcPr>
          <w:p>
            <w:pPr>
              <w:spacing w:after="0" w:before="0"/>
            </w:pPr>
            <w:r/>
            <w:r>
              <w:rPr>
                <w:b w:val="0"/>
                <w:i w:val="0"/>
                <w:color w:val="1A1A1A"/>
                <w:sz w:val="18"/>
              </w:rPr>
              <w:t>Warum steht dort die falsche Zahl?</w:t>
            </w:r>
          </w:p>
        </w:tc>
        <w:tc>
          <w:tcPr>
            <w:tcW w:type="dxa" w:w="3213"/>
          </w:tcPr>
          <w:p>
            <w:pPr>
              <w:spacing w:after="0" w:before="0"/>
            </w:pPr>
            <w:r/>
            <w:r>
              <w:rPr>
                <w:b w:val="0"/>
                <w:i w:val="0"/>
                <w:color w:val="1A1A1A"/>
                <w:sz w:val="18"/>
              </w:rPr>
              <w:t>Das Formular entsteht beim Vertrag, im Mittel sieben Monate vorher.</w:t>
            </w:r>
          </w:p>
        </w:tc>
        <w:tc>
          <w:tcPr>
            <w:tcW w:type="dxa" w:w="3213"/>
          </w:tcPr>
          <w:p>
            <w:pPr>
              <w:spacing w:after="0" w:before="0"/>
            </w:pPr>
            <w:r/>
            <w:r>
              <w:rPr>
                <w:b w:val="0"/>
                <w:i w:val="0"/>
                <w:color w:val="1A1A1A"/>
                <w:sz w:val="18"/>
              </w:rPr>
              <w:t>Datum der Formulare der elf Hochzeiten</w:t>
            </w:r>
          </w:p>
        </w:tc>
      </w:tr>
      <w:tr>
        <w:trPr>
          <w:cantSplit w:val="true"/>
        </w:trPr>
        <w:tc>
          <w:tcPr>
            <w:tcW w:type="dxa" w:w="3213"/>
            <w:shd w:val="clear" w:color="auto" w:fill="F3EFE6"/>
          </w:tcPr>
          <w:p>
            <w:pPr>
              <w:spacing w:after="0" w:before="0"/>
            </w:pPr>
            <w:r/>
            <w:r>
              <w:rPr>
                <w:b w:val="0"/>
                <w:i w:val="0"/>
                <w:color w:val="1A1A1A"/>
                <w:sz w:val="18"/>
              </w:rPr>
              <w:t>Warum kommt die endgültige Zahl nicht hinein?</w:t>
            </w:r>
          </w:p>
        </w:tc>
        <w:tc>
          <w:tcPr>
            <w:tcW w:type="dxa" w:w="3213"/>
            <w:shd w:val="clear" w:color="auto" w:fill="F3EFE6"/>
          </w:tcPr>
          <w:p>
            <w:pPr>
              <w:spacing w:after="0" w:before="0"/>
            </w:pPr>
            <w:r/>
            <w:r>
              <w:rPr>
                <w:b w:val="0"/>
                <w:i w:val="0"/>
                <w:color w:val="1A1A1A"/>
                <w:sz w:val="18"/>
              </w:rPr>
              <w:t>Sie geht per E-Mail an den Verkauf und von dort nur in die Rechnung.</w:t>
            </w:r>
          </w:p>
        </w:tc>
        <w:tc>
          <w:tcPr>
            <w:tcW w:type="dxa" w:w="3213"/>
            <w:shd w:val="clear" w:color="auto" w:fill="F3EFE6"/>
          </w:tcPr>
          <w:p>
            <w:pPr>
              <w:spacing w:after="0" w:before="0"/>
            </w:pPr>
            <w:r/>
            <w:r>
              <w:rPr>
                <w:b w:val="0"/>
                <w:i w:val="0"/>
                <w:color w:val="1A1A1A"/>
                <w:sz w:val="18"/>
              </w:rPr>
              <w:t>E-Mails der Brautpaare, Rechnungen</w:t>
            </w:r>
          </w:p>
        </w:tc>
      </w:tr>
      <w:tr>
        <w:trPr>
          <w:cantSplit w:val="true"/>
        </w:trPr>
        <w:tc>
          <w:tcPr>
            <w:tcW w:type="dxa" w:w="3213"/>
          </w:tcPr>
          <w:p>
            <w:pPr>
              <w:spacing w:after="0" w:before="0"/>
            </w:pPr>
            <w:r/>
            <w:r>
              <w:rPr>
                <w:b w:val="0"/>
                <w:i w:val="0"/>
                <w:color w:val="1A1A1A"/>
                <w:sz w:val="18"/>
              </w:rPr>
              <w:t>Warum trägt sie niemand weiter?</w:t>
            </w:r>
          </w:p>
        </w:tc>
        <w:tc>
          <w:tcPr>
            <w:tcW w:type="dxa" w:w="3213"/>
          </w:tcPr>
          <w:p>
            <w:pPr>
              <w:spacing w:after="0" w:before="0"/>
            </w:pPr>
            <w:r/>
            <w:r>
              <w:rPr>
                <w:b w:val="0"/>
                <w:i w:val="0"/>
                <w:color w:val="1A1A1A"/>
                <w:sz w:val="18"/>
              </w:rPr>
              <w:t>Kein Tag, an dem die Zahl feststeht; kein Weg in die Küche.</w:t>
            </w:r>
          </w:p>
        </w:tc>
        <w:tc>
          <w:tcPr>
            <w:tcW w:type="dxa" w:w="3213"/>
          </w:tcPr>
          <w:p>
            <w:pPr>
              <w:spacing w:after="0" w:before="0"/>
            </w:pPr>
            <w:r/>
            <w:r>
              <w:rPr>
                <w:b w:val="0"/>
                <w:i w:val="0"/>
                <w:color w:val="1A1A1A"/>
                <w:sz w:val="18"/>
              </w:rPr>
              <w:t>Vertragsvorlage, Bankettablauf</w:t>
            </w:r>
          </w:p>
        </w:tc>
      </w:tr>
    </w:tbl>
    <w:p>
      <w:pPr>
        <w:spacing w:after="40"/>
      </w:pPr>
    </w:p>
    <w:p>
      <w:pPr>
        <w:pStyle w:val="Heading2"/>
      </w:pPr>
      <w:r>
        <w:t>Praktische Anwendung: eine wiederkehrende Feststellung in sieben Schritten auf ihre Ursache zurückführen</w:t>
      </w:r>
    </w:p>
    <w:p>
      <w:pPr>
        <w:tabs>
          <w:tab w:pos="340" w:val="left"/>
        </w:tabs>
        <w:ind w:left="340" w:hanging="340"/>
      </w:pPr>
      <w:r>
        <w:rPr>
          <w:b/>
          <w:color w:val="8C5A2B"/>
        </w:rPr>
        <w:t>1.</w:t>
        <w:tab/>
      </w:r>
      <w:r>
        <w:rPr>
          <w:b/>
        </w:rPr>
        <w:t>Die früheren Blätter danebenlegen.</w:t>
      </w:r>
      <w:r>
        <w:t xml:space="preserve"> Suchen Sie, wann dieselbe oder eine ähnliche Feststellung schon einmal da war, und lesen Sie, mit welcher Maßnahme das Blatt geschlossen wurde und ob jemand die Wirkung geprüft hat.</w:t>
      </w:r>
    </w:p>
    <w:p>
      <w:pPr>
        <w:tabs>
          <w:tab w:pos="340" w:val="left"/>
        </w:tabs>
        <w:ind w:left="340" w:hanging="340"/>
      </w:pPr>
      <w:r>
        <w:rPr>
          <w:b/>
          <w:color w:val="8C5A2B"/>
        </w:rPr>
        <w:t>2.</w:t>
        <w:tab/>
      </w:r>
      <w:r>
        <w:rPr>
          <w:b/>
        </w:rPr>
        <w:t>Die Zahlen holen, bevor jemand redet.</w:t>
      </w:r>
      <w:r>
        <w:t xml:space="preserve"> Zu jedem Fall die Werte aus den Unterlagen: Vertrag, Sitzplan, Produktionsblatt, Wiegeliste. Erst Zahlen zeigen, wo ein Fehler entsteht und wo er nur sichtbar wird.</w:t>
      </w:r>
    </w:p>
    <w:p>
      <w:pPr>
        <w:tabs>
          <w:tab w:pos="340" w:val="left"/>
        </w:tabs>
        <w:ind w:left="340" w:hanging="340"/>
      </w:pPr>
      <w:r>
        <w:rPr>
          <w:b/>
          <w:color w:val="8C5A2B"/>
        </w:rPr>
        <w:t>3.</w:t>
        <w:tab/>
      </w:r>
      <w:r>
        <w:rPr>
          <w:b/>
        </w:rPr>
        <w:t>Den Vergleich prüfen.</w:t>
      </w:r>
      <w:r>
        <w:t xml:space="preserve"> Vergleichen Sie Gleiches mit Gleichem, ein Menü mit einem Menü. Ein schiefer Vergleich macht aus einer Ursache einen Streit.</w:t>
      </w:r>
    </w:p>
    <w:p>
      <w:pPr>
        <w:tabs>
          <w:tab w:pos="340" w:val="left"/>
        </w:tabs>
        <w:ind w:left="340" w:hanging="340"/>
      </w:pPr>
      <w:r>
        <w:rPr>
          <w:b/>
          <w:color w:val="8C5A2B"/>
        </w:rPr>
        <w:t>4.</w:t>
        <w:tab/>
      </w:r>
      <w:r>
        <w:rPr>
          <w:b/>
        </w:rPr>
        <w:t>Nach dem Warum fragen, bis ein Ablauf antwortet.</w:t>
      </w:r>
      <w:r>
        <w:t xml:space="preserve"> Die letzte Antwort nennt ein Papier, eine Zuständigkeit, eine Zeit oder ein Gerät, das das Haus ändern kann. Nennt sie einen Menschen, fragen Sie, ob ein anderer an seiner Stelle anders gehandelt hätte.</w:t>
      </w:r>
    </w:p>
    <w:p>
      <w:pPr>
        <w:tabs>
          <w:tab w:pos="340" w:val="left"/>
        </w:tabs>
        <w:ind w:left="340" w:hanging="340"/>
      </w:pPr>
      <w:r>
        <w:rPr>
          <w:b/>
          <w:color w:val="8C5A2B"/>
        </w:rPr>
        <w:t>5.</w:t>
        <w:tab/>
      </w:r>
      <w:r>
        <w:rPr>
          <w:b/>
        </w:rPr>
        <w:t>Ähnliche Fälle suchen.</w:t>
      </w:r>
      <w:r>
        <w:t xml:space="preserve"> Wo im Haus besteht dieselbe Bedingung? Die Korrekturmaßnahme erfasst alle Feste, bei denen die Ursache dieselbe ist.</w:t>
      </w:r>
    </w:p>
    <w:p>
      <w:pPr>
        <w:tabs>
          <w:tab w:pos="340" w:val="left"/>
        </w:tabs>
        <w:ind w:left="340" w:hanging="340"/>
      </w:pPr>
      <w:r>
        <w:rPr>
          <w:b/>
          <w:color w:val="8C5A2B"/>
        </w:rPr>
        <w:t>6.</w:t>
        <w:tab/>
      </w:r>
      <w:r>
        <w:rPr>
          <w:b/>
        </w:rPr>
        <w:t>Die Maßnahme an den Ort der Entstehung legen.</w:t>
      </w:r>
      <w:r>
        <w:t xml:space="preserve"> Verantwortlich ist der Bereich, der den Ablauf ändern kann; was den Vertrag ändert, entscheidet die Leitung.</w:t>
      </w:r>
    </w:p>
    <w:p>
      <w:pPr>
        <w:tabs>
          <w:tab w:pos="340" w:val="left"/>
        </w:tabs>
        <w:ind w:left="340" w:hanging="340"/>
      </w:pPr>
      <w:r>
        <w:rPr>
          <w:b/>
          <w:color w:val="8C5A2B"/>
        </w:rPr>
        <w:t>7.</w:t>
        <w:tab/>
      </w:r>
      <w:r>
        <w:rPr>
          <w:b/>
        </w:rPr>
        <w:t>Das Blatt erst nach der Wirkung schließen.</w:t>
      </w:r>
      <w:r>
        <w:t xml:space="preserve"> Legen Sie vorher fest, an welchen Festen und mit welcher Zahl die Wirksamkeit geprüft wird.</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Die früheren Blätter danebenlegen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Zahlen holen, bevor jemand redet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Den Vergleich prüfen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Nach dem Warum fragen, bis ein Ablauf antwortet</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Ähnliche Fälle suchen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Maßnahme an den Ort der Entstehung 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Das Blatt erst nach der Wirkung schließen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Erkennen wir, wenn eine Feststellung zum zweiten Mal auftritt?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Nennt jedes Blatt einer Nichtkonformität eine Ursache, nicht nur eine Maßnahme?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Liegt die genannte Ursache in einem Ablauf, den wir ändern können?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Stützt sich die Ursachenanalyse auf Zahlen aus mehreren Veranstaltungen?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Prüfen wir, bei welchen anderen Veranstaltungen dieselbe Ursache besteht?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«Mitarbeiter geschult» nur dort die Maßnahme, wo fehlendes Wissen die Ursache war?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Schreibt der verantwortliche Bereich die Ursache, und prüft das Audit sie später?</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Schließen wir ein Blatt erst, wenn die Wirksamkeit an echten Festen belegt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Am Ort des Sichtbaren ansetzen.</w:t>
      </w:r>
      <w:r>
        <w:t xml:space="preserve"> Die Reste liegen auf dem Teller und entstehen im Formular.</w:t>
      </w:r>
    </w:p>
    <w:p>
      <w:pPr>
        <w:tabs>
          <w:tab w:pos="340" w:val="left"/>
        </w:tabs>
        <w:ind w:left="340" w:hanging="340"/>
      </w:pPr>
      <w:r>
        <w:rPr>
          <w:color w:val="8C5A2B"/>
        </w:rPr>
        <w:t>–</w:t>
        <w:tab/>
      </w:r>
      <w:r>
        <w:rPr>
          <w:b/>
        </w:rPr>
        <w:t>Für alles eine Schulung ansetzen.</w:t>
      </w:r>
      <w:r>
        <w:t xml:space="preserve"> Wer schon weiß, wie es geht, lernt in der Schulung nichts Neues.</w:t>
      </w:r>
    </w:p>
    <w:p>
      <w:pPr>
        <w:tabs>
          <w:tab w:pos="340" w:val="left"/>
        </w:tabs>
        <w:ind w:left="340" w:hanging="340"/>
      </w:pPr>
      <w:r>
        <w:rPr>
          <w:color w:val="8C5A2B"/>
        </w:rPr>
        <w:t>–</w:t>
        <w:tab/>
      </w:r>
      <w:r>
        <w:rPr>
          <w:b/>
        </w:rPr>
        <w:t>Nach der Umsetzung schließen.</w:t>
      </w:r>
      <w:r>
        <w:t xml:space="preserve"> Ohne Prüfung der Wirkung kommt dieselbe Feststellung im nächsten Audit wieder.</w:t>
      </w:r>
    </w:p>
    <w:p>
      <w:pPr>
        <w:tabs>
          <w:tab w:pos="340" w:val="left"/>
        </w:tabs>
        <w:ind w:left="340" w:hanging="340"/>
      </w:pPr>
      <w:r>
        <w:rPr>
          <w:color w:val="8C5A2B"/>
        </w:rPr>
        <w:t>–</w:t>
        <w:tab/>
      </w:r>
      <w:r>
        <w:rPr>
          <w:b/>
        </w:rPr>
        <w:t>Den Menschen suchen, der nicht zugehört hat.</w:t>
      </w:r>
      <w:r>
        <w:t xml:space="preserve"> Ein anderer an seiner Stelle hätte dasselbe getan.</w:t>
      </w:r>
    </w:p>
    <w:p>
      <w:pPr>
        <w:tabs>
          <w:tab w:pos="340" w:val="left"/>
        </w:tabs>
        <w:ind w:left="340" w:hanging="340"/>
      </w:pPr>
      <w:r>
        <w:rPr>
          <w:color w:val="8C5A2B"/>
        </w:rPr>
        <w:t>–</w:t>
        <w:tab/>
      </w:r>
      <w:r>
        <w:rPr>
          <w:b/>
        </w:rPr>
        <w:t>Nur den Fall behandeln, der aufgefallen ist.</w:t>
      </w:r>
      <w:r>
        <w:t xml:space="preserve"> Dieselbe Ursache wirkt bei allen Festen mit demselben Ablauf.</w:t>
      </w:r>
    </w:p>
    <w:p>
      <w:pPr>
        <w:tabs>
          <w:tab w:pos="340" w:val="left"/>
        </w:tabs>
        <w:ind w:left="340" w:hanging="340"/>
      </w:pPr>
      <w:r>
        <w:rPr>
          <w:color w:val="8C5A2B"/>
        </w:rPr>
        <w:t>–</w:t>
        <w:tab/>
      </w:r>
      <w:r>
        <w:rPr>
          <w:b/>
        </w:rPr>
        <w:t>Die Angst nicht ernst nehmen.</w:t>
      </w:r>
      <w:r>
        <w:t xml:space="preserve"> Eine Reserve, die nicht im Formular steht, wächst im Kopf.</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Zu viel gekochte Hauptgänge: 11 Hochzeiten zu 21 Portionen</w:t>
            </w:r>
          </w:p>
        </w:tc>
        <w:tc>
          <w:tcPr>
            <w:tcW w:type="dxa" w:w="1474"/>
          </w:tcPr>
          <w:p>
            <w:pPr>
              <w:spacing w:after="0" w:before="0"/>
            </w:pPr>
            <w:r/>
            <w:r>
              <w:rPr>
                <w:b w:val="0"/>
                <w:i w:val="0"/>
                <w:color w:val="1A1A1A"/>
                <w:sz w:val="18"/>
              </w:rPr>
              <w:t>231 Portionen</w:t>
            </w:r>
          </w:p>
        </w:tc>
        <w:tc>
          <w:tcPr>
            <w:tcW w:type="dxa" w:w="3175"/>
          </w:tcPr>
          <w:p>
            <w:pPr>
              <w:spacing w:after="0" w:before="0"/>
            </w:pPr>
            <w:r/>
            <w:r>
              <w:rPr>
                <w:b w:val="0"/>
                <w:i w:val="0"/>
                <w:color w:val="1A1A1A"/>
                <w:sz w:val="18"/>
              </w:rPr>
              <w:t>eine Saison; Zahlen des Falls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Wareneinsatz dieser Portionen zu € 9</w:t>
            </w:r>
          </w:p>
        </w:tc>
        <w:tc>
          <w:tcPr>
            <w:tcW w:type="dxa" w:w="1474"/>
            <w:shd w:val="clear" w:color="auto" w:fill="F3EFE6"/>
          </w:tcPr>
          <w:p>
            <w:pPr>
              <w:spacing w:after="0" w:before="0"/>
            </w:pPr>
            <w:r/>
            <w:r>
              <w:rPr>
                <w:b w:val="0"/>
                <w:i w:val="0"/>
                <w:color w:val="1A1A1A"/>
                <w:sz w:val="18"/>
              </w:rPr>
              <w:t>€ 2.079</w:t>
            </w:r>
          </w:p>
        </w:tc>
        <w:tc>
          <w:tcPr>
            <w:tcW w:type="dxa" w:w="3175"/>
            <w:shd w:val="clear" w:color="auto" w:fill="F3EFE6"/>
          </w:tcPr>
          <w:p>
            <w:pPr>
              <w:spacing w:after="0" w:before="0"/>
            </w:pPr>
            <w:r/>
            <w:r>
              <w:rPr>
                <w:b w:val="0"/>
                <w:i w:val="0"/>
                <w:color w:val="1A1A1A"/>
                <w:sz w:val="18"/>
              </w:rPr>
              <w:t>ohne Arbeitszeit und Energie</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Speisereste aus Überproduktion: 231 zu 0,35 kg</w:t>
            </w:r>
          </w:p>
        </w:tc>
        <w:tc>
          <w:tcPr>
            <w:tcW w:type="dxa" w:w="1474"/>
          </w:tcPr>
          <w:p>
            <w:pPr>
              <w:spacing w:after="0" w:before="0"/>
            </w:pPr>
            <w:r/>
            <w:r>
              <w:rPr>
                <w:b w:val="0"/>
                <w:i w:val="0"/>
                <w:color w:val="1A1A1A"/>
                <w:sz w:val="18"/>
              </w:rPr>
              <w:t>rund 81 kg</w:t>
            </w:r>
          </w:p>
        </w:tc>
        <w:tc>
          <w:tcPr>
            <w:tcW w:type="dxa" w:w="3175"/>
          </w:tcPr>
          <w:p>
            <w:pPr>
              <w:spacing w:after="0" w:before="0"/>
            </w:pPr>
            <w:r/>
            <w:r>
              <w:rPr>
                <w:b w:val="0"/>
                <w:i w:val="0"/>
                <w:color w:val="1A1A1A"/>
                <w:sz w:val="18"/>
              </w:rPr>
              <w:t>gehen in die Sammlung biogener Abfälle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Zwei Schulungen ohne Wirkung: 14 Personen zu 0,5 Stunden</w:t>
            </w:r>
          </w:p>
        </w:tc>
        <w:tc>
          <w:tcPr>
            <w:tcW w:type="dxa" w:w="1474"/>
            <w:shd w:val="clear" w:color="auto" w:fill="F3EFE6"/>
          </w:tcPr>
          <w:p>
            <w:pPr>
              <w:spacing w:after="0" w:before="0"/>
            </w:pPr>
            <w:r/>
            <w:r>
              <w:rPr>
                <w:b w:val="0"/>
                <w:i w:val="0"/>
                <w:color w:val="1A1A1A"/>
                <w:sz w:val="18"/>
              </w:rPr>
              <w:t>7 Stunden</w:t>
            </w:r>
          </w:p>
        </w:tc>
        <w:tc>
          <w:tcPr>
            <w:tcW w:type="dxa" w:w="3175"/>
            <w:shd w:val="clear" w:color="auto" w:fill="F3EFE6"/>
          </w:tcPr>
          <w:p>
            <w:pPr>
              <w:spacing w:after="0" w:before="0"/>
            </w:pPr>
            <w:r/>
            <w:r>
              <w:rPr>
                <w:b w:val="0"/>
                <w:i w:val="0"/>
                <w:color w:val="1A1A1A"/>
                <w:sz w:val="18"/>
              </w:rPr>
              <w:t>Arbeitszeit, bereits ausgegeben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Ursachenanalyse: Zahlen holen, zwei Besprechungen</w:t>
            </w:r>
          </w:p>
        </w:tc>
        <w:tc>
          <w:tcPr>
            <w:tcW w:type="dxa" w:w="1474"/>
          </w:tcPr>
          <w:p>
            <w:pPr>
              <w:spacing w:after="0" w:before="0"/>
            </w:pPr>
            <w:r/>
            <w:r>
              <w:rPr>
                <w:b w:val="0"/>
                <w:i w:val="0"/>
                <w:color w:val="1A1A1A"/>
                <w:sz w:val="18"/>
              </w:rPr>
              <w:t>9 Stunden</w:t>
            </w:r>
          </w:p>
        </w:tc>
        <w:tc>
          <w:tcPr>
            <w:tcW w:type="dxa" w:w="3175"/>
          </w:tcPr>
          <w:p>
            <w:pPr>
              <w:spacing w:after="0" w:before="0"/>
            </w:pPr>
            <w:r/>
            <w:r>
              <w:rPr>
                <w:b w:val="0"/>
                <w:i w:val="0"/>
                <w:color w:val="1A1A1A"/>
                <w:sz w:val="18"/>
              </w:rPr>
              <w:t>Auditorin, Küchenchef, Verkauf, Direktor</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Neue Vertragsvorlage und Feld im Formular</w:t>
            </w:r>
          </w:p>
        </w:tc>
        <w:tc>
          <w:tcPr>
            <w:tcW w:type="dxa" w:w="1474"/>
            <w:shd w:val="clear" w:color="auto" w:fill="F3EFE6"/>
          </w:tcPr>
          <w:p>
            <w:pPr>
              <w:spacing w:after="0" w:before="0"/>
            </w:pPr>
            <w:r/>
            <w:r>
              <w:rPr>
                <w:b w:val="0"/>
                <w:i w:val="0"/>
                <w:color w:val="1A1A1A"/>
                <w:sz w:val="18"/>
              </w:rPr>
              <w:t>4 Stunden</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hält Ware und Stunden getrennt und zeigt keinen Gewinn. Die gut zweitausend Euro Wareneinsatz spart das Haus nicht vollständig, denn ein Teil der Reserve bleibt gewollt. Sie zeigt aber, dass sieben Stunden Schulung weniger gebracht haben als neun Stunden, in denen jemand nach der Ursache gefragt hat.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Reagieren, korrigieren, Folgen klären (10.2 a)</w:t>
            </w:r>
          </w:p>
        </w:tc>
        <w:tc>
          <w:tcPr>
            <w:tcW w:type="dxa" w:w="3175"/>
          </w:tcPr>
          <w:p>
            <w:pPr>
              <w:spacing w:after="0" w:before="0"/>
            </w:pPr>
            <w:r/>
            <w:r>
              <w:rPr>
                <w:b w:val="0"/>
                <w:i w:val="0"/>
                <w:color w:val="1A1A1A"/>
                <w:sz w:val="18"/>
              </w:rPr>
              <w:t>Endgültige Zahl für die zwei Hochzeiten im Oktober telefonisch bestätigt und ins Formular eingetragen</w:t>
            </w:r>
          </w:p>
        </w:tc>
        <w:tc>
          <w:tcPr>
            <w:tcW w:type="dxa" w:w="3175"/>
          </w:tcPr>
          <w:p>
            <w:pPr>
              <w:spacing w:after="0" w:before="0"/>
            </w:pPr>
            <w:r/>
            <w:r>
              <w:rPr>
                <w:b w:val="0"/>
                <w:i w:val="0"/>
                <w:color w:val="1A1A1A"/>
                <w:sz w:val="18"/>
              </w:rPr>
              <w:t>Methode: Korrektur und Korrekturmaßnahme auf dem Blatt getrennt</w:t>
            </w:r>
          </w:p>
        </w:tc>
      </w:tr>
      <w:tr>
        <w:trPr>
          <w:cantSplit w:val="true"/>
        </w:trPr>
        <w:tc>
          <w:tcPr>
            <w:tcW w:type="dxa" w:w="3288"/>
            <w:shd w:val="clear" w:color="auto" w:fill="F3EFE6"/>
          </w:tcPr>
          <w:p>
            <w:pPr>
              <w:spacing w:after="0" w:before="0"/>
            </w:pPr>
            <w:r/>
            <w:r>
              <w:rPr>
                <w:b w:val="0"/>
                <w:i w:val="0"/>
                <w:color w:val="1A1A1A"/>
                <w:sz w:val="18"/>
              </w:rPr>
              <w:t>Ursachen bewerten, ähnliche Fälle prüfen (10.2 b)</w:t>
            </w:r>
          </w:p>
        </w:tc>
        <w:tc>
          <w:tcPr>
            <w:tcW w:type="dxa" w:w="3175"/>
            <w:shd w:val="clear" w:color="auto" w:fill="F3EFE6"/>
          </w:tcPr>
          <w:p>
            <w:pPr>
              <w:spacing w:after="0" w:before="0"/>
            </w:pPr>
            <w:r/>
            <w:r>
              <w:rPr>
                <w:b w:val="0"/>
                <w:i w:val="0"/>
                <w:color w:val="1A1A1A"/>
                <w:sz w:val="18"/>
              </w:rPr>
              <w:t>Blatt mit Warum-Kette, Zahlen von elf Hochzeiten und sechs Firmenabenden</w:t>
            </w:r>
          </w:p>
        </w:tc>
        <w:tc>
          <w:tcPr>
            <w:tcW w:type="dxa" w:w="3175"/>
            <w:shd w:val="clear" w:color="auto" w:fill="F3EFE6"/>
          </w:tcPr>
          <w:p>
            <w:pPr>
              <w:spacing w:after="0" w:before="0"/>
            </w:pPr>
            <w:r/>
            <w:r>
              <w:rPr>
                <w:b w:val="0"/>
                <w:i w:val="0"/>
                <w:color w:val="1A1A1A"/>
                <w:sz w:val="18"/>
              </w:rPr>
              <w:t>Methode: fünf Warum, Ursache-Wirkungs-Diagramm; Frage aus Band 8a, 2.12</w:t>
            </w:r>
          </w:p>
        </w:tc>
      </w:tr>
      <w:tr>
        <w:trPr>
          <w:cantSplit w:val="true"/>
        </w:trPr>
        <w:tc>
          <w:tcPr>
            <w:tcW w:type="dxa" w:w="3288"/>
          </w:tcPr>
          <w:p>
            <w:pPr>
              <w:spacing w:after="0" w:before="0"/>
            </w:pPr>
            <w:r/>
            <w:r>
              <w:rPr>
                <w:b w:val="0"/>
                <w:i w:val="0"/>
                <w:color w:val="1A1A1A"/>
                <w:sz w:val="18"/>
              </w:rPr>
              <w:t>Angemessene Maßnahmen umsetzen (10.2 c)</w:t>
            </w:r>
          </w:p>
        </w:tc>
        <w:tc>
          <w:tcPr>
            <w:tcW w:type="dxa" w:w="3175"/>
          </w:tcPr>
          <w:p>
            <w:pPr>
              <w:spacing w:after="0" w:before="0"/>
            </w:pPr>
            <w:r/>
            <w:r>
              <w:rPr>
                <w:b w:val="0"/>
                <w:i w:val="0"/>
                <w:color w:val="1A1A1A"/>
                <w:sz w:val="18"/>
              </w:rPr>
              <w:t>Stichtag in der Vertragsvorlage, Feld im Formular, Bestellung nach dem Stichtag</w:t>
            </w:r>
          </w:p>
        </w:tc>
        <w:tc>
          <w:tcPr>
            <w:tcW w:type="dxa" w:w="3175"/>
          </w:tcPr>
          <w:p>
            <w:pPr>
              <w:spacing w:after="0" w:before="0"/>
            </w:pPr>
            <w:r/>
            <w:r>
              <w:rPr>
                <w:b w:val="0"/>
                <w:i w:val="0"/>
                <w:color w:val="1A1A1A"/>
                <w:sz w:val="18"/>
              </w:rPr>
              <w:t>Methode: Maßnahme am Ort der Entstehung, nicht der Sichtbarkeit</w:t>
            </w:r>
          </w:p>
        </w:tc>
      </w:tr>
      <w:tr>
        <w:trPr>
          <w:cantSplit w:val="true"/>
        </w:trPr>
        <w:tc>
          <w:tcPr>
            <w:tcW w:type="dxa" w:w="3288"/>
            <w:shd w:val="clear" w:color="auto" w:fill="F3EFE6"/>
          </w:tcPr>
          <w:p>
            <w:pPr>
              <w:spacing w:after="0" w:before="0"/>
            </w:pPr>
            <w:r/>
            <w:r>
              <w:rPr>
                <w:b w:val="0"/>
                <w:i w:val="0"/>
                <w:color w:val="1A1A1A"/>
                <w:sz w:val="18"/>
              </w:rPr>
              <w:t>Wirksamkeit prüfen (10.2 d)</w:t>
            </w:r>
          </w:p>
        </w:tc>
        <w:tc>
          <w:tcPr>
            <w:tcW w:type="dxa" w:w="3175"/>
            <w:shd w:val="clear" w:color="auto" w:fill="F3EFE6"/>
          </w:tcPr>
          <w:p>
            <w:pPr>
              <w:spacing w:after="0" w:before="0"/>
            </w:pPr>
            <w:r/>
            <w:r>
              <w:rPr>
                <w:b w:val="0"/>
                <w:i w:val="0"/>
                <w:color w:val="1A1A1A"/>
                <w:sz w:val="18"/>
              </w:rPr>
              <w:t>Wiegung und Zahlenvergleich bei den nächsten sechs Festen mit Vertragszahl</w:t>
            </w:r>
          </w:p>
        </w:tc>
        <w:tc>
          <w:tcPr>
            <w:tcW w:type="dxa" w:w="3175"/>
            <w:shd w:val="clear" w:color="auto" w:fill="F3EFE6"/>
          </w:tcPr>
          <w:p>
            <w:pPr>
              <w:spacing w:after="0" w:before="0"/>
            </w:pPr>
            <w:r/>
            <w:r>
              <w:rPr>
                <w:b w:val="0"/>
                <w:i w:val="0"/>
                <w:color w:val="1A1A1A"/>
                <w:sz w:val="18"/>
              </w:rPr>
              <w:t>Methode: Prüfung an echten Festen (3.13)</w:t>
            </w:r>
          </w:p>
        </w:tc>
      </w:tr>
      <w:tr>
        <w:trPr>
          <w:cantSplit w:val="true"/>
        </w:trPr>
        <w:tc>
          <w:tcPr>
            <w:tcW w:type="dxa" w:w="3288"/>
          </w:tcPr>
          <w:p>
            <w:pPr>
              <w:spacing w:after="0" w:before="0"/>
            </w:pPr>
            <w:r/>
            <w:r>
              <w:rPr>
                <w:b w:val="0"/>
                <w:i w:val="0"/>
                <w:color w:val="1A1A1A"/>
                <w:sz w:val="18"/>
              </w:rPr>
              <w:t>System ändern, wenn nötig (10.2 e)</w:t>
            </w:r>
          </w:p>
        </w:tc>
        <w:tc>
          <w:tcPr>
            <w:tcW w:type="dxa" w:w="3175"/>
          </w:tcPr>
          <w:p>
            <w:pPr>
              <w:spacing w:after="0" w:before="0"/>
            </w:pPr>
            <w:r/>
            <w:r>
              <w:rPr>
                <w:b w:val="0"/>
                <w:i w:val="0"/>
                <w:color w:val="1A1A1A"/>
                <w:sz w:val="18"/>
              </w:rPr>
              <w:t>geänderter Bankettablauf und neue Vertragsvorlage, geplant nach 6.3</w:t>
            </w:r>
          </w:p>
        </w:tc>
        <w:tc>
          <w:tcPr>
            <w:tcW w:type="dxa" w:w="3175"/>
          </w:tcPr>
          <w:p>
            <w:pPr>
              <w:spacing w:after="0" w:before="0"/>
            </w:pPr>
            <w:r/>
            <w:r>
              <w:rPr>
                <w:b w:val="0"/>
                <w:i w:val="0"/>
                <w:color w:val="1A1A1A"/>
                <w:sz w:val="18"/>
              </w:rPr>
              <w:t>keine</w:t>
            </w:r>
          </w:p>
        </w:tc>
      </w:tr>
      <w:tr>
        <w:trPr>
          <w:cantSplit w:val="true"/>
        </w:trPr>
        <w:tc>
          <w:tcPr>
            <w:tcW w:type="dxa" w:w="3288"/>
            <w:shd w:val="clear" w:color="auto" w:fill="F3EFE6"/>
          </w:tcPr>
          <w:p>
            <w:pPr>
              <w:spacing w:after="0" w:before="0"/>
            </w:pPr>
            <w:r/>
            <w:r>
              <w:rPr>
                <w:b w:val="0"/>
                <w:i w:val="0"/>
                <w:color w:val="1A1A1A"/>
                <w:sz w:val="18"/>
              </w:rPr>
              <w:t>Vorbeugung bei ungünstigem Trend; Lehren je Veranstaltung (9.1 a, c)</w:t>
            </w:r>
          </w:p>
        </w:tc>
        <w:tc>
          <w:tcPr>
            <w:tcW w:type="dxa" w:w="3175"/>
            <w:shd w:val="clear" w:color="auto" w:fill="F3EFE6"/>
          </w:tcPr>
          <w:p>
            <w:pPr>
              <w:spacing w:after="0" w:before="0"/>
            </w:pPr>
            <w:r/>
            <w:r>
              <w:rPr>
                <w:b w:val="0"/>
                <w:i w:val="0"/>
                <w:color w:val="1A1A1A"/>
                <w:sz w:val="18"/>
              </w:rPr>
              <w:t>Feld «übrige Portionen» in der Lehrennotiz</w:t>
            </w:r>
          </w:p>
        </w:tc>
        <w:tc>
          <w:tcPr>
            <w:tcW w:type="dxa" w:w="3175"/>
            <w:shd w:val="clear" w:color="auto" w:fill="F3EFE6"/>
          </w:tcPr>
          <w:p>
            <w:pPr>
              <w:spacing w:after="0" w:before="0"/>
            </w:pPr>
            <w:r/>
            <w:r>
              <w:rPr>
                <w:b w:val="0"/>
                <w:i w:val="0"/>
                <w:color w:val="1A1A1A"/>
                <w:sz w:val="18"/>
              </w:rPr>
              <w:t>ISO 19011:2026: risikobasierter Ansatz für das nächste Programm</w:t>
            </w:r>
          </w:p>
        </w:tc>
      </w:tr>
    </w:tbl>
    <w:p>
      <w:pPr>
        <w:spacing w:after="40"/>
      </w:pPr>
    </w:p>
    <w:p>
      <w:pPr>
        <w:pStyle w:val="Heading2"/>
      </w:pPr>
      <w:r>
        <w:t>DACH-Anker: Speisereste, Überproduktion und der Vertrag</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Speisereste sammeln</w:t>
            </w:r>
          </w:p>
        </w:tc>
        <w:tc>
          <w:tcPr>
            <w:tcW w:type="dxa" w:w="2721"/>
          </w:tcPr>
          <w:p>
            <w:pPr>
              <w:spacing w:after="0" w:before="0"/>
            </w:pPr>
            <w:r/>
            <w:r>
              <w:rPr>
                <w:b w:val="0"/>
                <w:i w:val="0"/>
                <w:color w:val="1A1A1A"/>
                <w:sz w:val="17"/>
              </w:rPr>
              <w:t>Bioabfälle getrennt sammeln und dokumentieren (§ 3 GewAbfV)</w:t>
            </w:r>
          </w:p>
        </w:tc>
        <w:tc>
          <w:tcPr>
            <w:tcW w:type="dxa" w:w="2721"/>
          </w:tcPr>
          <w:p>
            <w:pPr>
              <w:spacing w:after="0" w:before="0"/>
            </w:pPr>
            <w:r/>
            <w:r>
              <w:rPr>
                <w:b w:val="0"/>
                <w:i w:val="0"/>
                <w:color w:val="1A1A1A"/>
                <w:sz w:val="17"/>
              </w:rPr>
              <w:t>getrennte Bereitstellung biogener Abfälle (BGBl. Nr. 68/1992); Vorgaben von Gemeinde und Abfallverband</w:t>
            </w:r>
          </w:p>
        </w:tc>
        <w:tc>
          <w:tcPr>
            <w:tcW w:type="dxa" w:w="2721"/>
          </w:tcPr>
          <w:p>
            <w:pPr>
              <w:spacing w:after="0" w:before="0"/>
            </w:pPr>
            <w:r/>
            <w:r>
              <w:rPr>
                <w:b w:val="0"/>
                <w:i w:val="0"/>
                <w:color w:val="1A1A1A"/>
                <w:sz w:val="17"/>
              </w:rPr>
              <w:t>kantonales und kommunales Abfallrecht</w:t>
            </w:r>
          </w:p>
        </w:tc>
      </w:tr>
      <w:tr>
        <w:trPr>
          <w:cantSplit w:val="true"/>
        </w:trPr>
        <w:tc>
          <w:tcPr>
            <w:tcW w:type="dxa" w:w="1474"/>
            <w:shd w:val="clear" w:color="auto" w:fill="F3EFE6"/>
          </w:tcPr>
          <w:p>
            <w:pPr>
              <w:spacing w:after="0" w:before="0"/>
            </w:pPr>
            <w:r/>
            <w:r>
              <w:rPr>
                <w:b w:val="0"/>
                <w:i w:val="0"/>
                <w:color w:val="1A1A1A"/>
                <w:sz w:val="17"/>
              </w:rPr>
              <w:t>Ziel für Lebensmittelabfälle</w:t>
            </w:r>
          </w:p>
        </w:tc>
        <w:tc>
          <w:tcPr>
            <w:tcW w:type="dxa" w:w="2721"/>
            <w:shd w:val="clear" w:color="auto" w:fill="F3EFE6"/>
          </w:tcPr>
          <w:p>
            <w:pPr>
              <w:spacing w:after="0" w:before="0"/>
            </w:pPr>
            <w:r/>
            <w:r>
              <w:rPr>
                <w:b w:val="0"/>
                <w:i w:val="0"/>
                <w:color w:val="1A1A1A"/>
                <w:sz w:val="17"/>
              </w:rPr>
              <w:t>Richtlinie (EU) 2025/1892: minus 30 % je Kopf bis Ende 2030 gegenüber 2021–2023, auch Gaststätten und Verpflegung</w:t>
            </w:r>
          </w:p>
        </w:tc>
        <w:tc>
          <w:tcPr>
            <w:tcW w:type="dxa" w:w="2721"/>
            <w:shd w:val="clear" w:color="auto" w:fill="F3EFE6"/>
          </w:tcPr>
          <w:p>
            <w:pPr>
              <w:spacing w:after="0" w:before="0"/>
            </w:pPr>
            <w:r/>
            <w:r>
              <w:rPr>
                <w:b w:val="0"/>
                <w:i w:val="0"/>
                <w:color w:val="1A1A1A"/>
                <w:sz w:val="17"/>
              </w:rPr>
              <w:t>wie Deutschland</w:t>
            </w:r>
          </w:p>
        </w:tc>
        <w:tc>
          <w:tcPr>
            <w:tcW w:type="dxa" w:w="2721"/>
            <w:shd w:val="clear" w:color="auto" w:fill="F3EFE6"/>
          </w:tcPr>
          <w:p>
            <w:pPr>
              <w:spacing w:after="0" w:before="0"/>
            </w:pPr>
            <w:r/>
            <w:r>
              <w:rPr>
                <w:b w:val="0"/>
                <w:i w:val="0"/>
                <w:color w:val="1A1A1A"/>
                <w:sz w:val="17"/>
              </w:rPr>
              <w:t>Aktionsplan des Bundesrats vom 6. April 2022: Halbierung bis 2030 gegenüber 2017</w:t>
            </w:r>
          </w:p>
        </w:tc>
      </w:tr>
      <w:tr>
        <w:trPr>
          <w:cantSplit w:val="true"/>
        </w:trPr>
        <w:tc>
          <w:tcPr>
            <w:tcW w:type="dxa" w:w="1474"/>
          </w:tcPr>
          <w:p>
            <w:pPr>
              <w:spacing w:after="0" w:before="0"/>
            </w:pPr>
            <w:r/>
            <w:r>
              <w:rPr>
                <w:b w:val="0"/>
                <w:i w:val="0"/>
                <w:color w:val="1A1A1A"/>
                <w:sz w:val="17"/>
              </w:rPr>
              <w:t>Umsetzung des Ziels</w:t>
            </w:r>
          </w:p>
        </w:tc>
        <w:tc>
          <w:tcPr>
            <w:tcW w:type="dxa" w:w="2721"/>
          </w:tcPr>
          <w:p>
            <w:pPr>
              <w:spacing w:after="0" w:before="0"/>
            </w:pPr>
            <w:r/>
            <w:r>
              <w:rPr>
                <w:b w:val="0"/>
                <w:i w:val="0"/>
                <w:color w:val="1A1A1A"/>
                <w:sz w:val="17"/>
              </w:rPr>
              <w:t>in nationales Recht bis 17. Juni 2027</w:t>
            </w:r>
          </w:p>
        </w:tc>
        <w:tc>
          <w:tcPr>
            <w:tcW w:type="dxa" w:w="2721"/>
          </w:tcPr>
          <w:p>
            <w:pPr>
              <w:spacing w:after="0" w:before="0"/>
            </w:pPr>
            <w:r/>
            <w:r>
              <w:rPr>
                <w:b w:val="0"/>
                <w:i w:val="0"/>
                <w:color w:val="1A1A1A"/>
                <w:sz w:val="17"/>
              </w:rPr>
              <w:t>in nationales Recht bis 17. Juni 2027</w:t>
            </w:r>
          </w:p>
        </w:tc>
        <w:tc>
          <w:tcPr>
            <w:tcW w:type="dxa" w:w="2721"/>
          </w:tcPr>
          <w:p>
            <w:pPr>
              <w:spacing w:after="0" w:before="0"/>
            </w:pPr>
            <w:r/>
            <w:r>
              <w:rPr>
                <w:b w:val="0"/>
                <w:i w:val="0"/>
                <w:color w:val="1A1A1A"/>
                <w:sz w:val="17"/>
              </w:rPr>
              <w:t>kein Unionsrecht</w:t>
            </w:r>
          </w:p>
        </w:tc>
      </w:tr>
      <w:tr>
        <w:trPr>
          <w:cantSplit w:val="true"/>
        </w:trPr>
        <w:tc>
          <w:tcPr>
            <w:tcW w:type="dxa" w:w="1474"/>
            <w:shd w:val="clear" w:color="auto" w:fill="F3EFE6"/>
          </w:tcPr>
          <w:p>
            <w:pPr>
              <w:spacing w:after="0" w:before="0"/>
            </w:pPr>
            <w:r/>
            <w:r>
              <w:rPr>
                <w:b w:val="0"/>
                <w:i w:val="0"/>
                <w:color w:val="1A1A1A"/>
                <w:sz w:val="17"/>
              </w:rPr>
              <w:t>Übrig gebliebene Speisen</w:t>
            </w:r>
          </w:p>
        </w:tc>
        <w:tc>
          <w:tcPr>
            <w:tcW w:type="dxa" w:w="2721"/>
            <w:shd w:val="clear" w:color="auto" w:fill="F3EFE6"/>
          </w:tcPr>
          <w:p>
            <w:pPr>
              <w:spacing w:after="0" w:before="0"/>
            </w:pPr>
            <w:r/>
            <w:r>
              <w:rPr>
                <w:b w:val="0"/>
                <w:i w:val="0"/>
                <w:color w:val="1A1A1A"/>
                <w:sz w:val="17"/>
              </w:rPr>
              <w:t>Verwendung nur im Rahmen der HACCP-Verfahren des Hauses (Art. 5 VO (EG) Nr. 852/2004)</w:t>
            </w:r>
          </w:p>
        </w:tc>
        <w:tc>
          <w:tcPr>
            <w:tcW w:type="dxa" w:w="2721"/>
            <w:shd w:val="clear" w:color="auto" w:fill="F3EFE6"/>
          </w:tcPr>
          <w:p>
            <w:pPr>
              <w:spacing w:after="0" w:before="0"/>
            </w:pPr>
            <w:r/>
            <w:r>
              <w:rPr>
                <w:b w:val="0"/>
                <w:i w:val="0"/>
                <w:color w:val="1A1A1A"/>
                <w:sz w:val="17"/>
              </w:rPr>
              <w:t>ebenso, Unionsrecht</w:t>
            </w:r>
          </w:p>
        </w:tc>
        <w:tc>
          <w:tcPr>
            <w:tcW w:type="dxa" w:w="2721"/>
            <w:shd w:val="clear" w:color="auto" w:fill="F3EFE6"/>
          </w:tcPr>
          <w:p>
            <w:pPr>
              <w:spacing w:after="0" w:before="0"/>
            </w:pPr>
            <w:r/>
            <w:r>
              <w:rPr>
                <w:b w:val="0"/>
                <w:i w:val="0"/>
                <w:color w:val="1A1A1A"/>
                <w:sz w:val="17"/>
              </w:rPr>
              <w:t>Selbstkontrolle (Art. 26 LMG, Art. 74 ff. LGV)</w:t>
            </w:r>
          </w:p>
        </w:tc>
      </w:tr>
      <w:tr>
        <w:trPr>
          <w:cantSplit w:val="true"/>
        </w:trPr>
        <w:tc>
          <w:tcPr>
            <w:tcW w:type="dxa" w:w="1474"/>
          </w:tcPr>
          <w:p>
            <w:pPr>
              <w:spacing w:after="0" w:before="0"/>
            </w:pPr>
            <w:r/>
            <w:r>
              <w:rPr>
                <w:b w:val="0"/>
                <w:i w:val="0"/>
                <w:color w:val="1A1A1A"/>
                <w:sz w:val="17"/>
              </w:rPr>
              <w:t>Personenzahl im Veranstaltungsvertrag</w:t>
            </w:r>
          </w:p>
        </w:tc>
        <w:tc>
          <w:tcPr>
            <w:tcW w:type="dxa" w:w="2721"/>
          </w:tcPr>
          <w:p>
            <w:pPr>
              <w:spacing w:after="0" w:before="0"/>
            </w:pPr>
            <w:r/>
            <w:r>
              <w:rPr>
                <w:b w:val="0"/>
                <w:i w:val="0"/>
                <w:color w:val="1A1A1A"/>
                <w:sz w:val="17"/>
              </w:rPr>
              <w:t>keine gesetzliche Vorgabe; Sache des Vertrags</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ebenso</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3.11.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3.11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3.11 — Eine wiederkehrende Feststellung auf ihre Ursache zurückführen, mit ähnlichen Fällen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