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3.12</w:t>
      </w:r>
    </w:p>
    <w:p>
      <w:pPr>
        <w:pStyle w:val="Heading1"/>
      </w:pPr>
      <w:r>
        <w:t>Den Bericht an die oberste Leitung schreiben</w:t>
      </w:r>
    </w:p>
    <w:p>
      <w:pPr>
        <w:spacing w:after="0"/>
      </w:pPr>
      <w:r>
        <w:rPr>
          <w:b w:val="0"/>
          <w:i/>
          <w:color w:val="5A5A5A"/>
        </w:rPr>
        <w:t>Abschnitt 3.12 · Der Bericht an die oberste Leitung</w:t>
      </w:r>
    </w:p>
    <w:p>
      <w:pPr>
        <w:spacing w:after="160"/>
      </w:pPr>
      <w:r>
        <w:rPr>
          <w:b w:val="0"/>
          <w:i w:val="0"/>
          <w:color w:val="5A5A5A"/>
          <w:sz w:val="18"/>
        </w:rPr>
        <w:t>Modellfall im Buch: Potsdam</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Wer in Ihrem Haus hat den letzten Auditbericht ganz gelesen, und was hat er danach entschieden? Und wenn Ihr Auditor nur zwei Seiten hätte: Stünde auf der ersten, ob Ihr System hält und wo nicht?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Zwei Seiten an die Leitung: was wohin gehört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Teil</w:t>
            </w:r>
          </w:p>
        </w:tc>
        <w:tc>
          <w:tcPr>
            <w:tcW w:type="dxa" w:w="3213"/>
            <w:shd w:val="clear" w:color="auto" w:fill="8C5A2B"/>
          </w:tcPr>
          <w:p>
            <w:pPr>
              <w:spacing w:after="0" w:before="0"/>
            </w:pPr>
            <w:r/>
            <w:r>
              <w:rPr>
                <w:b/>
                <w:i w:val="0"/>
                <w:color w:val="FFFFFF"/>
                <w:sz w:val="18"/>
              </w:rPr>
              <w:t>Was darin steht</w:t>
            </w:r>
          </w:p>
        </w:tc>
        <w:tc>
          <w:tcPr>
            <w:tcW w:type="dxa" w:w="3213"/>
            <w:shd w:val="clear" w:color="auto" w:fill="8C5A2B"/>
          </w:tcPr>
          <w:p>
            <w:pPr>
              <w:spacing w:after="0" w:before="0"/>
            </w:pPr>
            <w:r/>
            <w:r>
              <w:rPr>
                <w:b/>
                <w:i w:val="0"/>
                <w:color w:val="FFFFFF"/>
                <w:sz w:val="18"/>
              </w:rPr>
              <w:t>Am Bericht aus Potsdam</w:t>
            </w:r>
          </w:p>
        </w:tc>
      </w:tr>
      <w:tr>
        <w:trPr>
          <w:cantSplit w:val="true"/>
        </w:trPr>
        <w:tc>
          <w:tcPr>
            <w:tcW w:type="dxa" w:w="3213"/>
          </w:tcPr>
          <w:p>
            <w:pPr>
              <w:spacing w:after="0" w:before="0"/>
            </w:pPr>
            <w:r/>
            <w:r>
              <w:rPr>
                <w:b w:val="0"/>
                <w:i w:val="0"/>
                <w:color w:val="1A1A1A"/>
                <w:sz w:val="18"/>
              </w:rPr>
              <w:t>Schlussfolgerung</w:t>
            </w:r>
          </w:p>
        </w:tc>
        <w:tc>
          <w:tcPr>
            <w:tcW w:type="dxa" w:w="3213"/>
          </w:tcPr>
          <w:p>
            <w:pPr>
              <w:spacing w:after="0" w:before="0"/>
            </w:pPr>
            <w:r/>
            <w:r>
              <w:rPr>
                <w:b w:val="0"/>
                <w:i w:val="0"/>
                <w:color w:val="1A1A1A"/>
                <w:sz w:val="18"/>
              </w:rPr>
              <w:t>ob das System hält, wo nicht; Umfang des Audits</w:t>
            </w:r>
          </w:p>
        </w:tc>
        <w:tc>
          <w:tcPr>
            <w:tcW w:type="dxa" w:w="3213"/>
          </w:tcPr>
          <w:p>
            <w:pPr>
              <w:spacing w:after="0" w:before="0"/>
            </w:pPr>
            <w:r/>
            <w:r>
              <w:rPr>
                <w:b w:val="0"/>
                <w:i w:val="0"/>
                <w:color w:val="1A1A1A"/>
                <w:sz w:val="18"/>
              </w:rPr>
              <w:t>hält im Saal, nicht im Park über 120 Gäste; drei Tage, zwei Feste, 14 Formulare</w:t>
            </w:r>
          </w:p>
        </w:tc>
      </w:tr>
      <w:tr>
        <w:trPr>
          <w:cantSplit w:val="true"/>
        </w:trPr>
        <w:tc>
          <w:tcPr>
            <w:tcW w:type="dxa" w:w="3213"/>
            <w:shd w:val="clear" w:color="auto" w:fill="F3EFE6"/>
          </w:tcPr>
          <w:p>
            <w:pPr>
              <w:spacing w:after="0" w:before="0"/>
            </w:pPr>
            <w:r/>
            <w:r>
              <w:rPr>
                <w:b w:val="0"/>
                <w:i w:val="0"/>
                <w:color w:val="1A1A1A"/>
                <w:sz w:val="18"/>
              </w:rPr>
              <w:t>Feststellungen mit Folge</w:t>
            </w:r>
          </w:p>
        </w:tc>
        <w:tc>
          <w:tcPr>
            <w:tcW w:type="dxa" w:w="3213"/>
            <w:shd w:val="clear" w:color="auto" w:fill="F3EFE6"/>
          </w:tcPr>
          <w:p>
            <w:pPr>
              <w:spacing w:after="0" w:before="0"/>
            </w:pPr>
            <w:r/>
            <w:r>
              <w:rPr>
                <w:b w:val="0"/>
                <w:i w:val="0"/>
                <w:color w:val="1A1A1A"/>
                <w:sz w:val="18"/>
              </w:rPr>
              <w:t>höchstens drei bis fünf, je Kriterium, Nachweis, Folge</w:t>
            </w:r>
          </w:p>
        </w:tc>
        <w:tc>
          <w:tcPr>
            <w:tcW w:type="dxa" w:w="3213"/>
            <w:shd w:val="clear" w:color="auto" w:fill="F3EFE6"/>
          </w:tcPr>
          <w:p>
            <w:pPr>
              <w:spacing w:after="0" w:before="0"/>
            </w:pPr>
            <w:r/>
            <w:r>
              <w:rPr>
                <w:b w:val="0"/>
                <w:i w:val="0"/>
                <w:color w:val="1A1A1A"/>
                <w:sz w:val="18"/>
              </w:rPr>
              <w:t>Einweg im Park gegen Zusage der Website; Musik nach 22 Uhr gegen Zusage an die Nachbarn; Lehren ohne Wirkung</w:t>
            </w:r>
          </w:p>
        </w:tc>
      </w:tr>
      <w:tr>
        <w:trPr>
          <w:cantSplit w:val="true"/>
        </w:trPr>
        <w:tc>
          <w:tcPr>
            <w:tcW w:type="dxa" w:w="3213"/>
          </w:tcPr>
          <w:p>
            <w:pPr>
              <w:spacing w:after="0" w:before="0"/>
            </w:pPr>
            <w:r/>
            <w:r>
              <w:rPr>
                <w:b w:val="0"/>
                <w:i w:val="0"/>
                <w:color w:val="1A1A1A"/>
                <w:sz w:val="18"/>
              </w:rPr>
              <w:t>Frage an die Leitung</w:t>
            </w:r>
          </w:p>
        </w:tc>
        <w:tc>
          <w:tcPr>
            <w:tcW w:type="dxa" w:w="3213"/>
          </w:tcPr>
          <w:p>
            <w:pPr>
              <w:spacing w:after="0" w:before="0"/>
            </w:pPr>
            <w:r/>
            <w:r>
              <w:rPr>
                <w:b w:val="0"/>
                <w:i w:val="0"/>
                <w:color w:val="1A1A1A"/>
                <w:sz w:val="18"/>
              </w:rPr>
              <w:t>was nur sie entscheiden kann, mit Wegen und Zahlen</w:t>
            </w:r>
          </w:p>
        </w:tc>
        <w:tc>
          <w:tcPr>
            <w:tcW w:type="dxa" w:w="3213"/>
          </w:tcPr>
          <w:p>
            <w:pPr>
              <w:spacing w:after="0" w:before="0"/>
            </w:pPr>
            <w:r/>
            <w:r>
              <w:rPr>
                <w:b w:val="0"/>
                <w:i w:val="0"/>
                <w:color w:val="1A1A1A"/>
                <w:sz w:val="18"/>
              </w:rPr>
              <w:t>Mehrweg im Park ermöglichen oder Zusage ändern</w:t>
            </w:r>
          </w:p>
        </w:tc>
      </w:tr>
      <w:tr>
        <w:trPr>
          <w:cantSplit w:val="true"/>
        </w:trPr>
        <w:tc>
          <w:tcPr>
            <w:tcW w:type="dxa" w:w="3213"/>
            <w:shd w:val="clear" w:color="auto" w:fill="F3EFE6"/>
          </w:tcPr>
          <w:p>
            <w:pPr>
              <w:spacing w:after="0" w:before="0"/>
            </w:pPr>
            <w:r/>
            <w:r>
              <w:rPr>
                <w:b w:val="0"/>
                <w:i w:val="0"/>
                <w:color w:val="1A1A1A"/>
                <w:sz w:val="18"/>
              </w:rPr>
              <w:t>Grenzen</w:t>
            </w:r>
          </w:p>
        </w:tc>
        <w:tc>
          <w:tcPr>
            <w:tcW w:type="dxa" w:w="3213"/>
            <w:shd w:val="clear" w:color="auto" w:fill="F3EFE6"/>
          </w:tcPr>
          <w:p>
            <w:pPr>
              <w:spacing w:after="0" w:before="0"/>
            </w:pPr>
            <w:r/>
            <w:r>
              <w:rPr>
                <w:b w:val="0"/>
                <w:i w:val="0"/>
                <w:color w:val="1A1A1A"/>
                <w:sz w:val="18"/>
              </w:rPr>
              <w:t>was nicht geprüft wurde</w:t>
            </w:r>
          </w:p>
        </w:tc>
        <w:tc>
          <w:tcPr>
            <w:tcW w:type="dxa" w:w="3213"/>
            <w:shd w:val="clear" w:color="auto" w:fill="F3EFE6"/>
          </w:tcPr>
          <w:p>
            <w:pPr>
              <w:spacing w:after="0" w:before="0"/>
            </w:pPr>
            <w:r/>
            <w:r>
              <w:rPr>
                <w:b w:val="0"/>
                <w:i w:val="0"/>
                <w:color w:val="1A1A1A"/>
                <w:sz w:val="18"/>
              </w:rPr>
              <w:t>Weihnachtsfeiern, Nacht nach dem Abbau</w:t>
            </w:r>
          </w:p>
        </w:tc>
      </w:tr>
      <w:tr>
        <w:trPr>
          <w:cantSplit w:val="true"/>
        </w:trPr>
        <w:tc>
          <w:tcPr>
            <w:tcW w:type="dxa" w:w="3213"/>
          </w:tcPr>
          <w:p>
            <w:pPr>
              <w:spacing w:after="0" w:before="0"/>
            </w:pPr>
            <w:r/>
            <w:r>
              <w:rPr>
                <w:b w:val="0"/>
                <w:i w:val="0"/>
                <w:color w:val="1A1A1A"/>
                <w:sz w:val="18"/>
              </w:rPr>
              <w:t>Anhang</w:t>
            </w:r>
          </w:p>
        </w:tc>
        <w:tc>
          <w:tcPr>
            <w:tcW w:type="dxa" w:w="3213"/>
          </w:tcPr>
          <w:p>
            <w:pPr>
              <w:spacing w:after="0" w:before="0"/>
            </w:pPr>
            <w:r/>
            <w:r>
              <w:rPr>
                <w:b w:val="0"/>
                <w:i w:val="0"/>
                <w:color w:val="1A1A1A"/>
                <w:sz w:val="18"/>
              </w:rPr>
              <w:t>alle übrigen Feststellungen mit Nummern</w:t>
            </w:r>
          </w:p>
        </w:tc>
        <w:tc>
          <w:tcPr>
            <w:tcW w:type="dxa" w:w="3213"/>
          </w:tcPr>
          <w:p>
            <w:pPr>
              <w:spacing w:after="0" w:before="0"/>
            </w:pPr>
            <w:r/>
            <w:r>
              <w:rPr>
                <w:b w:val="0"/>
                <w:i w:val="0"/>
                <w:color w:val="1A1A1A"/>
                <w:sz w:val="18"/>
              </w:rPr>
              <w:t>neun Feststellungen, Beobachtungen und Stärken für die Abteilungen</w:t>
            </w:r>
          </w:p>
        </w:tc>
      </w:tr>
    </w:tbl>
    <w:p>
      <w:pPr>
        <w:spacing w:after="40"/>
      </w:pPr>
    </w:p>
    <w:p>
      <w:pPr>
        <w:pStyle w:val="Heading2"/>
      </w:pPr>
      <w:r>
        <w:t>Praktische Anwendung: den Bericht an die oberste Leitung in sieben Schritten schreiben</w:t>
      </w:r>
    </w:p>
    <w:p>
      <w:pPr>
        <w:tabs>
          <w:tab w:pos="340" w:val="left"/>
        </w:tabs>
        <w:ind w:left="340" w:hanging="340"/>
      </w:pPr>
      <w:r>
        <w:rPr>
          <w:b/>
          <w:color w:val="8C5A2B"/>
        </w:rPr>
        <w:t>1.</w:t>
        <w:tab/>
      </w:r>
      <w:r>
        <w:rPr>
          <w:b/>
        </w:rPr>
        <w:t>Die Schlussfolgerung zuerst schreiben.</w:t>
      </w:r>
      <w:r>
        <w:t xml:space="preserve"> Ein oder zwei Sätze: Hält das System, und wo nicht? Darunter der Umfang, auf den sich der Satz stützt.</w:t>
      </w:r>
    </w:p>
    <w:p>
      <w:pPr>
        <w:tabs>
          <w:tab w:pos="340" w:val="left"/>
        </w:tabs>
        <w:ind w:left="340" w:hanging="340"/>
      </w:pPr>
      <w:r>
        <w:rPr>
          <w:b/>
          <w:color w:val="8C5A2B"/>
        </w:rPr>
        <w:t>2.</w:t>
        <w:tab/>
      </w:r>
      <w:r>
        <w:rPr>
          <w:b/>
        </w:rPr>
        <w:t>Höchstens drei bis fünf Feststellungen auswählen.</w:t>
      </w:r>
      <w:r>
        <w:t xml:space="preserve"> Nach Bedeutung für das System, nicht nach Zahl oder Abteilung. Was über Abteilungsgrenzen hinweg nicht hält, wird zusammengeführt.</w:t>
      </w:r>
    </w:p>
    <w:p>
      <w:pPr>
        <w:tabs>
          <w:tab w:pos="340" w:val="left"/>
        </w:tabs>
        <w:ind w:left="340" w:hanging="340"/>
      </w:pPr>
      <w:r>
        <w:rPr>
          <w:b/>
          <w:color w:val="8C5A2B"/>
        </w:rPr>
        <w:t>3.</w:t>
        <w:tab/>
      </w:r>
      <w:r>
        <w:rPr>
          <w:b/>
        </w:rPr>
        <w:t>Zu jeder Feststellung die Folge nennen.</w:t>
      </w:r>
      <w:r>
        <w:t xml:space="preserve"> Was bedeutet sie für Gäste, Kunden, Mitarbeitende oder eine Aussage des Hauses, wenn nichts geschieht?</w:t>
      </w:r>
    </w:p>
    <w:p>
      <w:pPr>
        <w:tabs>
          <w:tab w:pos="340" w:val="left"/>
        </w:tabs>
        <w:ind w:left="340" w:hanging="340"/>
      </w:pPr>
      <w:r>
        <w:rPr>
          <w:b/>
          <w:color w:val="8C5A2B"/>
        </w:rPr>
        <w:t>4.</w:t>
        <w:tab/>
      </w:r>
      <w:r>
        <w:rPr>
          <w:b/>
        </w:rPr>
        <w:t>Die Frage stellen, die nur die Leitung beantworten kann.</w:t>
      </w:r>
      <w:r>
        <w:t xml:space="preserve"> Mit den Wegen, die es gibt, und mit den Zahlen, die vorliegen. Den Weg wählt die Leitung.</w:t>
      </w:r>
    </w:p>
    <w:p>
      <w:pPr>
        <w:tabs>
          <w:tab w:pos="340" w:val="left"/>
        </w:tabs>
        <w:ind w:left="340" w:hanging="340"/>
      </w:pPr>
      <w:r>
        <w:rPr>
          <w:b/>
          <w:color w:val="8C5A2B"/>
        </w:rPr>
        <w:t>5.</w:t>
        <w:tab/>
      </w:r>
      <w:r>
        <w:rPr>
          <w:b/>
        </w:rPr>
        <w:t>Die Grenzen nennen.</w:t>
      </w:r>
      <w:r>
        <w:t xml:space="preserve"> Was nicht geprüft wurde, steht auf der ersten Seite, nicht im Kleingedruckten.</w:t>
      </w:r>
    </w:p>
    <w:p>
      <w:pPr>
        <w:tabs>
          <w:tab w:pos="340" w:val="left"/>
        </w:tabs>
        <w:ind w:left="340" w:hanging="340"/>
      </w:pPr>
      <w:r>
        <w:rPr>
          <w:b/>
          <w:color w:val="8C5A2B"/>
        </w:rPr>
        <w:t>6.</w:t>
        <w:tab/>
      </w:r>
      <w:r>
        <w:rPr>
          <w:b/>
        </w:rPr>
        <w:t>Alles Übrige in den Anhang legen.</w:t>
      </w:r>
      <w:r>
        <w:t xml:space="preserve"> Jede Feststellung mit Nummer, damit die Abteilungen ihre Blätter danach führen.</w:t>
      </w:r>
    </w:p>
    <w:p>
      <w:pPr>
        <w:tabs>
          <w:tab w:pos="340" w:val="left"/>
        </w:tabs>
        <w:ind w:left="340" w:hanging="340"/>
      </w:pPr>
      <w:r>
        <w:rPr>
          <w:b/>
          <w:color w:val="8C5A2B"/>
        </w:rPr>
        <w:t>7.</w:t>
        <w:tab/>
      </w:r>
      <w:r>
        <w:rPr>
          <w:b/>
        </w:rPr>
        <w:t>Den Bericht als Vorlage schicken, nicht zur Kenntnis.</w:t>
      </w:r>
      <w:r>
        <w:t xml:space="preserve"> An die Menschen, die entscheiden dürfen, mit Termin und Platz in der Managementbewertung.</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Schlussfolgerung zuerst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Höchstens drei bis fünf Feststellungen auswählen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Zu jeder Feststellung die Folge nennen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Die Frage stellen, die nur die Leitung beantworten kann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Grenzen nennen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Alles Übrige in den Anhang 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Den Bericht als Vorlage schicken, nicht zur Kenntnis</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Beginnt unser Auditbericht mit einer Schlussfolgerung darüber, ob das System hält und wo nicht?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Nennt der Bericht, was geprüft wurde und was nicht?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Stehen höchstens fünf Feststellungen für die Leitung vorn, jede mit ihrer Folge?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 Farbe oder Note im Bericht eine Begründung?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Enthält der Bericht die Frage, die nur die Leitung beantworten kann?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Erreicht der Bericht die Stelle, die über Geld und Zusagen entscheiden darf?</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Steht der Bericht als Vorlage auf der Tagesordnung der Managementbewertung?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Gibt es im Protokoll eine Entscheidung zu jeder Frage aus dem Bericht?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Länge mit Gründlichkeit verwechseln.</w:t>
      </w:r>
      <w:r>
        <w:t xml:space="preserve"> Vierunddreißig Seiten werden abgelegt, nicht entschieden.</w:t>
      </w:r>
    </w:p>
    <w:p>
      <w:pPr>
        <w:tabs>
          <w:tab w:pos="340" w:val="left"/>
        </w:tabs>
        <w:ind w:left="340" w:hanging="340"/>
      </w:pPr>
      <w:r>
        <w:rPr>
          <w:color w:val="8C5A2B"/>
        </w:rPr>
        <w:t>–</w:t>
        <w:tab/>
      </w:r>
      <w:r>
        <w:rPr>
          <w:b/>
        </w:rPr>
        <w:t>Nach Abteilungen ordnen.</w:t>
      </w:r>
      <w:r>
        <w:t xml:space="preserve"> Was über die Grenzen hinweg nicht hält, erscheint dann nirgends ganz.</w:t>
      </w:r>
    </w:p>
    <w:p>
      <w:pPr>
        <w:tabs>
          <w:tab w:pos="340" w:val="left"/>
        </w:tabs>
        <w:ind w:left="340" w:hanging="340"/>
      </w:pPr>
      <w:r>
        <w:rPr>
          <w:color w:val="8C5A2B"/>
        </w:rPr>
        <w:t>–</w:t>
        <w:tab/>
      </w:r>
      <w:r>
        <w:rPr>
          <w:b/>
        </w:rPr>
        <w:t>Farben ohne Begründung vergeben.</w:t>
      </w:r>
      <w:r>
        <w:t xml:space="preserve"> Die Leitung zählt Punkte und liest keine Befunde.</w:t>
      </w:r>
    </w:p>
    <w:p>
      <w:pPr>
        <w:tabs>
          <w:tab w:pos="340" w:val="left"/>
        </w:tabs>
        <w:ind w:left="340" w:hanging="340"/>
      </w:pPr>
      <w:r>
        <w:rPr>
          <w:color w:val="8C5A2B"/>
        </w:rPr>
        <w:t>–</w:t>
        <w:tab/>
      </w:r>
      <w:r>
        <w:rPr>
          <w:b/>
        </w:rPr>
        <w:t>Die Schlussfolgerung weglassen.</w:t>
      </w:r>
      <w:r>
        <w:t xml:space="preserve"> Dann bildet sie sich jemand, der nicht alle Feststellungen kennt.</w:t>
      </w:r>
    </w:p>
    <w:p>
      <w:pPr>
        <w:tabs>
          <w:tab w:pos="340" w:val="left"/>
        </w:tabs>
        <w:ind w:left="340" w:hanging="340"/>
      </w:pPr>
      <w:r>
        <w:rPr>
          <w:color w:val="8C5A2B"/>
        </w:rPr>
        <w:t>–</w:t>
        <w:tab/>
      </w:r>
      <w:r>
        <w:rPr>
          <w:b/>
        </w:rPr>
        <w:t>Die Entscheidung dem Auditor zuschieben.</w:t>
      </w:r>
      <w:r>
        <w:t xml:space="preserve"> Er zeigt die Wege; wählen muss die Leitung.</w:t>
      </w:r>
    </w:p>
    <w:p>
      <w:pPr>
        <w:tabs>
          <w:tab w:pos="340" w:val="left"/>
        </w:tabs>
        <w:ind w:left="340" w:hanging="340"/>
      </w:pPr>
      <w:r>
        <w:rPr>
          <w:color w:val="8C5A2B"/>
        </w:rPr>
        <w:t>–</w:t>
        <w:tab/>
      </w:r>
      <w:r>
        <w:rPr>
          <w:b/>
        </w:rPr>
        <w:t>Den Bericht zur Kenntnis weiterreichen.</w:t>
      </w:r>
      <w:r>
        <w:t xml:space="preserve"> Was zur Kenntnis geht, wird zur Kenntnis genommen.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Bericht des Vorjahres: 34 Seiten erstellen</w:t>
            </w:r>
          </w:p>
        </w:tc>
        <w:tc>
          <w:tcPr>
            <w:tcW w:type="dxa" w:w="1474"/>
          </w:tcPr>
          <w:p>
            <w:pPr>
              <w:spacing w:after="0" w:before="0"/>
            </w:pPr>
            <w:r/>
            <w:r>
              <w:rPr>
                <w:b w:val="0"/>
                <w:i w:val="0"/>
                <w:color w:val="1A1A1A"/>
                <w:sz w:val="18"/>
              </w:rPr>
              <w:t>22 Stunden</w:t>
            </w:r>
          </w:p>
        </w:tc>
        <w:tc>
          <w:tcPr>
            <w:tcW w:type="dxa" w:w="3175"/>
          </w:tcPr>
          <w:p>
            <w:pPr>
              <w:spacing w:after="0" w:before="0"/>
            </w:pPr>
            <w:r/>
            <w:r>
              <w:rPr>
                <w:b w:val="0"/>
                <w:i w:val="0"/>
                <w:color w:val="1A1A1A"/>
                <w:sz w:val="18"/>
              </w:rPr>
              <w:t>Auditorin; nicht gelesen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Bericht dieses Jahres: 2 Seiten und Anhang</w:t>
            </w:r>
          </w:p>
        </w:tc>
        <w:tc>
          <w:tcPr>
            <w:tcW w:type="dxa" w:w="1474"/>
            <w:shd w:val="clear" w:color="auto" w:fill="F3EFE6"/>
          </w:tcPr>
          <w:p>
            <w:pPr>
              <w:spacing w:after="0" w:before="0"/>
            </w:pPr>
            <w:r/>
            <w:r>
              <w:rPr>
                <w:b w:val="0"/>
                <w:i w:val="0"/>
                <w:color w:val="1A1A1A"/>
                <w:sz w:val="18"/>
              </w:rPr>
              <w:t>9 Stunden</w:t>
            </w:r>
          </w:p>
        </w:tc>
        <w:tc>
          <w:tcPr>
            <w:tcW w:type="dxa" w:w="3175"/>
            <w:shd w:val="clear" w:color="auto" w:fill="F3EFE6"/>
          </w:tcPr>
          <w:p>
            <w:pPr>
              <w:spacing w:after="0" w:before="0"/>
            </w:pPr>
            <w:r/>
            <w:r>
              <w:rPr>
                <w:b w:val="0"/>
                <w:i w:val="0"/>
                <w:color w:val="1A1A1A"/>
                <w:sz w:val="18"/>
              </w:rPr>
              <w:t>Auditorin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Lesezeit der Leitung: 2 Personen zu 20 Minuten</w:t>
            </w:r>
          </w:p>
        </w:tc>
        <w:tc>
          <w:tcPr>
            <w:tcW w:type="dxa" w:w="1474"/>
          </w:tcPr>
          <w:p>
            <w:pPr>
              <w:spacing w:after="0" w:before="0"/>
            </w:pPr>
            <w:r/>
            <w:r>
              <w:rPr>
                <w:b w:val="0"/>
                <w:i w:val="0"/>
                <w:color w:val="1A1A1A"/>
                <w:sz w:val="18"/>
              </w:rPr>
              <w:t>40 Minuten</w:t>
            </w:r>
          </w:p>
        </w:tc>
        <w:tc>
          <w:tcPr>
            <w:tcW w:type="dxa" w:w="3175"/>
          </w:tcPr>
          <w:p>
            <w:pPr>
              <w:spacing w:after="0" w:before="0"/>
            </w:pPr>
            <w:r/>
            <w:r>
              <w:rPr>
                <w:b w:val="0"/>
                <w:i w:val="0"/>
                <w:color w:val="1A1A1A"/>
                <w:sz w:val="18"/>
              </w:rPr>
              <w:t>einschließlich Rückfragen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Einweggeschirr bei Gartenfesten bisher: 9 Feste zu € 420</w:t>
            </w:r>
          </w:p>
        </w:tc>
        <w:tc>
          <w:tcPr>
            <w:tcW w:type="dxa" w:w="1474"/>
            <w:shd w:val="clear" w:color="auto" w:fill="F3EFE6"/>
          </w:tcPr>
          <w:p>
            <w:pPr>
              <w:spacing w:after="0" w:before="0"/>
            </w:pPr>
            <w:r/>
            <w:r>
              <w:rPr>
                <w:b w:val="0"/>
                <w:i w:val="0"/>
                <w:color w:val="1A1A1A"/>
                <w:sz w:val="18"/>
              </w:rPr>
              <w:t>€ 3.780</w:t>
            </w:r>
          </w:p>
        </w:tc>
        <w:tc>
          <w:tcPr>
            <w:tcW w:type="dxa" w:w="3175"/>
            <w:shd w:val="clear" w:color="auto" w:fill="F3EFE6"/>
          </w:tcPr>
          <w:p>
            <w:pPr>
              <w:spacing w:after="0" w:before="0"/>
            </w:pPr>
            <w:r/>
            <w:r>
              <w:rPr>
                <w:b w:val="0"/>
                <w:i w:val="0"/>
                <w:color w:val="1A1A1A"/>
                <w:sz w:val="18"/>
              </w:rPr>
              <w:t>je Saison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Mietgeschirr mit Rücknahme: 9 Feste zu € 650</w:t>
            </w:r>
          </w:p>
        </w:tc>
        <w:tc>
          <w:tcPr>
            <w:tcW w:type="dxa" w:w="1474"/>
          </w:tcPr>
          <w:p>
            <w:pPr>
              <w:spacing w:after="0" w:before="0"/>
            </w:pPr>
            <w:r/>
            <w:r>
              <w:rPr>
                <w:b w:val="0"/>
                <w:i w:val="0"/>
                <w:color w:val="1A1A1A"/>
                <w:sz w:val="18"/>
              </w:rPr>
              <w:t>€ 5.850</w:t>
            </w:r>
          </w:p>
        </w:tc>
        <w:tc>
          <w:tcPr>
            <w:tcW w:type="dxa" w:w="3175"/>
          </w:tcPr>
          <w:p>
            <w:pPr>
              <w:spacing w:after="0" w:before="0"/>
            </w:pPr>
            <w:r/>
            <w:r>
              <w:rPr>
                <w:b w:val="0"/>
                <w:i w:val="0"/>
                <w:color w:val="1A1A1A"/>
                <w:sz w:val="18"/>
              </w:rPr>
              <w:t>je Saison; Angebot des Falls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Eigene Spülstation im Park</w:t>
            </w:r>
          </w:p>
        </w:tc>
        <w:tc>
          <w:tcPr>
            <w:tcW w:type="dxa" w:w="1474"/>
            <w:shd w:val="clear" w:color="auto" w:fill="F3EFE6"/>
          </w:tcPr>
          <w:p>
            <w:pPr>
              <w:spacing w:after="0" w:before="0"/>
            </w:pPr>
            <w:r/>
            <w:r>
              <w:rPr>
                <w:b w:val="0"/>
                <w:i w:val="0"/>
                <w:color w:val="1A1A1A"/>
                <w:sz w:val="18"/>
              </w:rPr>
              <w:t>€ 38.000</w:t>
            </w:r>
          </w:p>
        </w:tc>
        <w:tc>
          <w:tcPr>
            <w:tcW w:type="dxa" w:w="3175"/>
            <w:shd w:val="clear" w:color="auto" w:fill="F3EFE6"/>
          </w:tcPr>
          <w:p>
            <w:pPr>
              <w:spacing w:after="0" w:before="0"/>
            </w:pPr>
            <w:r/>
            <w:r>
              <w:rPr>
                <w:b w:val="0"/>
                <w:i w:val="0"/>
                <w:color w:val="1A1A1A"/>
                <w:sz w:val="18"/>
              </w:rPr>
              <w:t>einmalig; Zustimmung der Gesellschafter nötig</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hält Stunden und Geld getrennt. Der kürzere Bericht kostete weniger Zeit als der lange, aber sein Wert liegt nicht in den gesparten dreizehn Stunden, sondern darin, dass er gelesen wurde. Das Mietgeschirr kostet je Saison rund 2.070 Euro mehr als das Einweggeschirr, ohne die Arbeitszeit für Rücknahme und Zählung. Was die Gartenfeste dem Haus einbringen, sagt die Rechnung nicht, und was ein falscher Satz auf der Website kosten könnte, beziffert sie bewusst nicht.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Ergebnisse an die zuständige Leitung berichten (9.2.2)</w:t>
            </w:r>
          </w:p>
        </w:tc>
        <w:tc>
          <w:tcPr>
            <w:tcW w:type="dxa" w:w="3175"/>
          </w:tcPr>
          <w:p>
            <w:pPr>
              <w:spacing w:after="0" w:before="0"/>
            </w:pPr>
            <w:r/>
            <w:r>
              <w:rPr>
                <w:b w:val="0"/>
                <w:i w:val="0"/>
                <w:color w:val="1A1A1A"/>
                <w:sz w:val="18"/>
              </w:rPr>
              <w:t>zwei Seiten an Geschäftsführer und Eigentümervertreter, datiert, mit Verteiler</w:t>
            </w:r>
          </w:p>
        </w:tc>
        <w:tc>
          <w:tcPr>
            <w:tcW w:type="dxa" w:w="3175"/>
          </w:tcPr>
          <w:p>
            <w:pPr>
              <w:spacing w:after="0" w:before="0"/>
            </w:pPr>
            <w:r/>
            <w:r>
              <w:rPr>
                <w:b w:val="0"/>
                <w:i w:val="0"/>
                <w:color w:val="1A1A1A"/>
                <w:sz w:val="18"/>
              </w:rPr>
              <w:t>Methode: Schlussfolgerung zuerst, Anhang für die Abteilungen</w:t>
            </w:r>
          </w:p>
        </w:tc>
      </w:tr>
      <w:tr>
        <w:trPr>
          <w:cantSplit w:val="true"/>
        </w:trPr>
        <w:tc>
          <w:tcPr>
            <w:tcW w:type="dxa" w:w="3288"/>
            <w:shd w:val="clear" w:color="auto" w:fill="F3EFE6"/>
          </w:tcPr>
          <w:p>
            <w:pPr>
              <w:spacing w:after="0" w:before="0"/>
            </w:pPr>
            <w:r/>
            <w:r>
              <w:rPr>
                <w:b w:val="0"/>
                <w:i w:val="0"/>
                <w:color w:val="1A1A1A"/>
                <w:sz w:val="18"/>
              </w:rPr>
              <w:t>Führung: Ressourcen, beabsichtigte Ergebnisse, Verbesserung (5.1 c, e, g)</w:t>
            </w:r>
          </w:p>
        </w:tc>
        <w:tc>
          <w:tcPr>
            <w:tcW w:type="dxa" w:w="3175"/>
            <w:shd w:val="clear" w:color="auto" w:fill="F3EFE6"/>
          </w:tcPr>
          <w:p>
            <w:pPr>
              <w:spacing w:after="0" w:before="0"/>
            </w:pPr>
            <w:r/>
            <w:r>
              <w:rPr>
                <w:b w:val="0"/>
                <w:i w:val="0"/>
                <w:color w:val="1A1A1A"/>
                <w:sz w:val="18"/>
              </w:rPr>
              <w:t>Frage nach Mehrweg im Park auf der Tagesordnung der Gesellschafterrunde</w:t>
            </w:r>
          </w:p>
        </w:tc>
        <w:tc>
          <w:tcPr>
            <w:tcW w:type="dxa" w:w="3175"/>
            <w:shd w:val="clear" w:color="auto" w:fill="F3EFE6"/>
          </w:tcPr>
          <w:p>
            <w:pPr>
              <w:spacing w:after="0" w:before="0"/>
            </w:pPr>
            <w:r/>
            <w:r>
              <w:rPr>
                <w:b w:val="0"/>
                <w:i w:val="0"/>
                <w:color w:val="1A1A1A"/>
                <w:sz w:val="18"/>
              </w:rPr>
              <w:t>Methode: eine Frage, die nur die Leitung beantworten kann</w:t>
            </w:r>
          </w:p>
        </w:tc>
      </w:tr>
      <w:tr>
        <w:trPr>
          <w:cantSplit w:val="true"/>
        </w:trPr>
        <w:tc>
          <w:tcPr>
            <w:tcW w:type="dxa" w:w="3288"/>
          </w:tcPr>
          <w:p>
            <w:pPr>
              <w:spacing w:after="0" w:before="0"/>
            </w:pPr>
            <w:r/>
            <w:r>
              <w:rPr>
                <w:b w:val="0"/>
                <w:i w:val="0"/>
                <w:color w:val="1A1A1A"/>
                <w:sz w:val="18"/>
              </w:rPr>
              <w:t>Managementbewertung mit Eingaben a) bis k), darunter j) (9.3.1, 9.3.2)</w:t>
            </w:r>
          </w:p>
        </w:tc>
        <w:tc>
          <w:tcPr>
            <w:tcW w:type="dxa" w:w="3175"/>
          </w:tcPr>
          <w:p>
            <w:pPr>
              <w:spacing w:after="0" w:before="0"/>
            </w:pPr>
            <w:r/>
            <w:r>
              <w:rPr>
                <w:b w:val="0"/>
                <w:i w:val="0"/>
                <w:color w:val="1A1A1A"/>
                <w:sz w:val="18"/>
              </w:rPr>
              <w:t>Vorlage für November mit Auditbericht und den neuen Regeln für Umweltaussagen</w:t>
            </w:r>
          </w:p>
        </w:tc>
        <w:tc>
          <w:tcPr>
            <w:tcW w:type="dxa" w:w="3175"/>
          </w:tcPr>
          <w:p>
            <w:pPr>
              <w:spacing w:after="0" w:before="0"/>
            </w:pPr>
            <w:r/>
            <w:r>
              <w:rPr>
                <w:b w:val="0"/>
                <w:i w:val="0"/>
                <w:color w:val="1A1A1A"/>
                <w:sz w:val="18"/>
              </w:rPr>
              <w:t>Band 8a, 2.15: Entscheidungsvorlage statt Jahresbericht</w:t>
            </w:r>
          </w:p>
        </w:tc>
      </w:tr>
      <w:tr>
        <w:trPr>
          <w:cantSplit w:val="true"/>
        </w:trPr>
        <w:tc>
          <w:tcPr>
            <w:tcW w:type="dxa" w:w="3288"/>
            <w:shd w:val="clear" w:color="auto" w:fill="F3EFE6"/>
          </w:tcPr>
          <w:p>
            <w:pPr>
              <w:spacing w:after="0" w:before="0"/>
            </w:pPr>
            <w:r/>
            <w:r>
              <w:rPr>
                <w:b w:val="0"/>
                <w:i w:val="0"/>
                <w:color w:val="1A1A1A"/>
                <w:sz w:val="18"/>
              </w:rPr>
              <w:t>Ergebnisse als Entscheidungen (9.3.3)</w:t>
            </w:r>
          </w:p>
        </w:tc>
        <w:tc>
          <w:tcPr>
            <w:tcW w:type="dxa" w:w="3175"/>
            <w:shd w:val="clear" w:color="auto" w:fill="F3EFE6"/>
          </w:tcPr>
          <w:p>
            <w:pPr>
              <w:spacing w:after="0" w:before="0"/>
            </w:pPr>
            <w:r/>
            <w:r>
              <w:rPr>
                <w:b w:val="0"/>
                <w:i w:val="0"/>
                <w:color w:val="1A1A1A"/>
                <w:sz w:val="18"/>
              </w:rPr>
              <w:t>Protokoll mit Entscheidung, Name und Termin</w:t>
            </w:r>
          </w:p>
        </w:tc>
        <w:tc>
          <w:tcPr>
            <w:tcW w:type="dxa" w:w="3175"/>
            <w:shd w:val="clear" w:color="auto" w:fill="F3EFE6"/>
          </w:tcPr>
          <w:p>
            <w:pPr>
              <w:spacing w:after="0" w:before="0"/>
            </w:pPr>
            <w:r/>
            <w:r>
              <w:rPr>
                <w:b w:val="0"/>
                <w:i w:val="0"/>
                <w:color w:val="1A1A1A"/>
                <w:sz w:val="18"/>
              </w:rPr>
              <w:t>keine</w:t>
            </w:r>
          </w:p>
        </w:tc>
      </w:tr>
      <w:tr>
        <w:trPr>
          <w:cantSplit w:val="true"/>
        </w:trPr>
        <w:tc>
          <w:tcPr>
            <w:tcW w:type="dxa" w:w="3288"/>
          </w:tcPr>
          <w:p>
            <w:pPr>
              <w:spacing w:after="0" w:before="0"/>
            </w:pPr>
            <w:r/>
            <w:r>
              <w:rPr>
                <w:b w:val="0"/>
                <w:i w:val="0"/>
                <w:color w:val="1A1A1A"/>
                <w:sz w:val="18"/>
              </w:rPr>
              <w:t>Keine irreführende Kommunikation (7.4)</w:t>
            </w:r>
          </w:p>
        </w:tc>
        <w:tc>
          <w:tcPr>
            <w:tcW w:type="dxa" w:w="3175"/>
          </w:tcPr>
          <w:p>
            <w:pPr>
              <w:spacing w:after="0" w:before="0"/>
            </w:pPr>
            <w:r/>
            <w:r>
              <w:rPr>
                <w:b w:val="0"/>
                <w:i w:val="0"/>
                <w:color w:val="1A1A1A"/>
                <w:sz w:val="18"/>
              </w:rPr>
              <w:t>geänderter Satz auf der Website</w:t>
            </w:r>
          </w:p>
        </w:tc>
        <w:tc>
          <w:tcPr>
            <w:tcW w:type="dxa" w:w="3175"/>
          </w:tcPr>
          <w:p>
            <w:pPr>
              <w:spacing w:after="0" w:before="0"/>
            </w:pPr>
            <w:r/>
            <w:r>
              <w:rPr>
                <w:b w:val="0"/>
                <w:i w:val="0"/>
                <w:color w:val="1A1A1A"/>
                <w:sz w:val="18"/>
              </w:rPr>
              <w:t>Methode: jede Aussage am Befund messen</w:t>
            </w:r>
          </w:p>
        </w:tc>
      </w:tr>
      <w:tr>
        <w:trPr>
          <w:cantSplit w:val="true"/>
        </w:trPr>
        <w:tc>
          <w:tcPr>
            <w:tcW w:type="dxa" w:w="3288"/>
            <w:shd w:val="clear" w:color="auto" w:fill="F3EFE6"/>
          </w:tcPr>
          <w:p>
            <w:pPr>
              <w:spacing w:after="0" w:before="0"/>
            </w:pPr>
            <w:r/>
            <w:r>
              <w:rPr>
                <w:b w:val="0"/>
                <w:i w:val="0"/>
                <w:color w:val="1A1A1A"/>
                <w:sz w:val="18"/>
              </w:rPr>
              <w:t>Umfang des Audits festlegen (9.2.2)</w:t>
            </w:r>
          </w:p>
        </w:tc>
        <w:tc>
          <w:tcPr>
            <w:tcW w:type="dxa" w:w="3175"/>
            <w:shd w:val="clear" w:color="auto" w:fill="F3EFE6"/>
          </w:tcPr>
          <w:p>
            <w:pPr>
              <w:spacing w:after="0" w:before="0"/>
            </w:pPr>
            <w:r/>
            <w:r>
              <w:rPr>
                <w:b w:val="0"/>
                <w:i w:val="0"/>
                <w:color w:val="1A1A1A"/>
                <w:sz w:val="18"/>
              </w:rPr>
              <w:t>Satz über das nicht Geprüfte im Bericht</w:t>
            </w:r>
          </w:p>
        </w:tc>
        <w:tc>
          <w:tcPr>
            <w:tcW w:type="dxa" w:w="3175"/>
            <w:shd w:val="clear" w:color="auto" w:fill="F3EFE6"/>
          </w:tcPr>
          <w:p>
            <w:pPr>
              <w:spacing w:after="0" w:before="0"/>
            </w:pPr>
            <w:r/>
            <w:r>
              <w:rPr>
                <w:b w:val="0"/>
                <w:i w:val="0"/>
                <w:color w:val="1A1A1A"/>
                <w:sz w:val="18"/>
              </w:rPr>
              <w:t>ISO 19011:2026: sachliche Darstellung</w:t>
            </w:r>
          </w:p>
        </w:tc>
      </w:tr>
    </w:tbl>
    <w:p>
      <w:pPr>
        <w:spacing w:after="40"/>
      </w:pPr>
    </w:p>
    <w:p>
      <w:pPr>
        <w:pStyle w:val="Heading2"/>
      </w:pPr>
      <w:r>
        <w:t>DACH-Anker: wer entscheidet, und was zwei Befunde rechtlich berühren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Leitung der Gesellschaft</w:t>
            </w:r>
          </w:p>
        </w:tc>
        <w:tc>
          <w:tcPr>
            <w:tcW w:type="dxa" w:w="2721"/>
          </w:tcPr>
          <w:p>
            <w:pPr>
              <w:spacing w:after="0" w:before="0"/>
            </w:pPr>
            <w:r/>
            <w:r>
              <w:rPr>
                <w:b w:val="0"/>
                <w:i w:val="0"/>
                <w:color w:val="1A1A1A"/>
                <w:sz w:val="17"/>
              </w:rPr>
              <w:t>GmbH: Geschäftsführer an Beschränkungen aus Gesellschaftsvertrag und Gesellschafterbeschlüssen gebunden (§ 37 Abs. 1 GmbHG)</w:t>
            </w:r>
          </w:p>
        </w:tc>
        <w:tc>
          <w:tcPr>
            <w:tcW w:type="dxa" w:w="2721"/>
          </w:tcPr>
          <w:p>
            <w:pPr>
              <w:spacing w:after="0" w:before="0"/>
            </w:pPr>
            <w:r/>
            <w:r>
              <w:rPr>
                <w:b w:val="0"/>
                <w:i w:val="0"/>
                <w:color w:val="1A1A1A"/>
                <w:sz w:val="17"/>
              </w:rPr>
              <w:t>GmbH: ebenso (§ 20 Abs. 1 GmbHG)</w:t>
            </w:r>
          </w:p>
        </w:tc>
        <w:tc>
          <w:tcPr>
            <w:tcW w:type="dxa" w:w="2721"/>
          </w:tcPr>
          <w:p>
            <w:pPr>
              <w:spacing w:after="0" w:before="0"/>
            </w:pPr>
            <w:r/>
            <w:r>
              <w:rPr>
                <w:b w:val="0"/>
                <w:i w:val="0"/>
                <w:color w:val="1A1A1A"/>
                <w:sz w:val="17"/>
              </w:rPr>
              <w:t>AG: Oberleitung und nötige Weisungen beim Verwaltungsrat, unübertragbar (Art. 716a Abs. 1 Ziff. 1 OR)</w:t>
            </w:r>
          </w:p>
        </w:tc>
      </w:tr>
      <w:tr>
        <w:trPr>
          <w:cantSplit w:val="true"/>
        </w:trPr>
        <w:tc>
          <w:tcPr>
            <w:tcW w:type="dxa" w:w="1474"/>
            <w:shd w:val="clear" w:color="auto" w:fill="F3EFE6"/>
          </w:tcPr>
          <w:p>
            <w:pPr>
              <w:spacing w:after="0" w:before="0"/>
            </w:pPr>
            <w:r/>
            <w:r>
              <w:rPr>
                <w:b w:val="0"/>
                <w:i w:val="0"/>
                <w:color w:val="1A1A1A"/>
                <w:sz w:val="17"/>
              </w:rPr>
              <w:t>Überwachung, wo ein Aufsichtsrat besteht</w:t>
            </w:r>
          </w:p>
        </w:tc>
        <w:tc>
          <w:tcPr>
            <w:tcW w:type="dxa" w:w="2721"/>
            <w:shd w:val="clear" w:color="auto" w:fill="F3EFE6"/>
          </w:tcPr>
          <w:p>
            <w:pPr>
              <w:spacing w:after="0" w:before="0"/>
            </w:pPr>
            <w:r/>
            <w:r>
              <w:rPr>
                <w:b w:val="0"/>
                <w:i w:val="0"/>
                <w:color w:val="1A1A1A"/>
                <w:sz w:val="17"/>
              </w:rPr>
              <w:t>Aufsichtsrat überwacht die Geschäftsführung (§ 111 Abs. 1 AktG)</w:t>
            </w:r>
          </w:p>
        </w:tc>
        <w:tc>
          <w:tcPr>
            <w:tcW w:type="dxa" w:w="2721"/>
            <w:shd w:val="clear" w:color="auto" w:fill="F3EFE6"/>
          </w:tcPr>
          <w:p>
            <w:pPr>
              <w:spacing w:after="0" w:before="0"/>
            </w:pPr>
            <w:r/>
            <w:r>
              <w:rPr>
                <w:b w:val="0"/>
                <w:i w:val="0"/>
                <w:color w:val="1A1A1A"/>
                <w:sz w:val="17"/>
              </w:rPr>
              <w:t>ebenso (§ 95 Abs. 1 AktG)</w:t>
            </w:r>
          </w:p>
        </w:tc>
        <w:tc>
          <w:tcPr>
            <w:tcW w:type="dxa" w:w="2721"/>
            <w:shd w:val="clear" w:color="auto" w:fill="F3EFE6"/>
          </w:tcPr>
          <w:p>
            <w:pPr>
              <w:spacing w:after="0" w:before="0"/>
            </w:pPr>
            <w:r/>
            <w:r>
              <w:rPr>
                <w:b w:val="0"/>
                <w:i w:val="0"/>
                <w:color w:val="1A1A1A"/>
                <w:sz w:val="17"/>
              </w:rPr>
              <w:t>Oberaufsicht des Verwaltungsrats (Art. 716a Abs. 1 Ziff. 5 OR)</w:t>
            </w:r>
          </w:p>
        </w:tc>
      </w:tr>
      <w:tr>
        <w:trPr>
          <w:cantSplit w:val="true"/>
        </w:trPr>
        <w:tc>
          <w:tcPr>
            <w:tcW w:type="dxa" w:w="1474"/>
          </w:tcPr>
          <w:p>
            <w:pPr>
              <w:spacing w:after="0" w:before="0"/>
            </w:pPr>
            <w:r/>
            <w:r>
              <w:rPr>
                <w:b w:val="0"/>
                <w:i w:val="0"/>
                <w:color w:val="1A1A1A"/>
                <w:sz w:val="17"/>
              </w:rPr>
              <w:t>Aussage nach außen</w:t>
            </w:r>
          </w:p>
        </w:tc>
        <w:tc>
          <w:tcPr>
            <w:tcW w:type="dxa" w:w="2721"/>
          </w:tcPr>
          <w:p>
            <w:pPr>
              <w:spacing w:after="0" w:before="0"/>
            </w:pPr>
            <w:r/>
            <w:r>
              <w:rPr>
                <w:b w:val="0"/>
                <w:i w:val="0"/>
                <w:color w:val="1A1A1A"/>
                <w:sz w:val="17"/>
              </w:rPr>
              <w:t>gegenüber Verbrauchern neue Regeln ab 27. September 2026, u. a. Aussage über das Ganze, die nur einen Teil betrifft (Anhang zu § 3 Abs. 3 Nr. 4b UWG)</w:t>
            </w:r>
          </w:p>
        </w:tc>
        <w:tc>
          <w:tcPr>
            <w:tcW w:type="dxa" w:w="2721"/>
          </w:tcPr>
          <w:p>
            <w:pPr>
              <w:spacing w:after="0" w:before="0"/>
            </w:pPr>
            <w:r/>
            <w:r>
              <w:rPr>
                <w:b w:val="0"/>
                <w:i w:val="0"/>
                <w:color w:val="1A1A1A"/>
                <w:sz w:val="17"/>
              </w:rPr>
              <w:t>UWG-Novelle BGBl. I Nr. 58/2026, gegenüber Verbrauchern ab 27. September 2026</w:t>
            </w:r>
          </w:p>
        </w:tc>
        <w:tc>
          <w:tcPr>
            <w:tcW w:type="dxa" w:w="2721"/>
          </w:tcPr>
          <w:p>
            <w:pPr>
              <w:spacing w:after="0" w:before="0"/>
            </w:pPr>
            <w:r/>
            <w:r>
              <w:rPr>
                <w:b w:val="0"/>
                <w:i w:val="0"/>
                <w:color w:val="1A1A1A"/>
                <w:sz w:val="17"/>
              </w:rPr>
              <w:t>irreführende Angaben (Art. 3 Abs. 1 lit. b UWG); Klimaaussagen (lit. x)</w:t>
            </w:r>
          </w:p>
        </w:tc>
      </w:tr>
      <w:tr>
        <w:trPr>
          <w:cantSplit w:val="true"/>
        </w:trPr>
        <w:tc>
          <w:tcPr>
            <w:tcW w:type="dxa" w:w="1474"/>
            <w:shd w:val="clear" w:color="auto" w:fill="F3EFE6"/>
          </w:tcPr>
          <w:p>
            <w:pPr>
              <w:spacing w:after="0" w:before="0"/>
            </w:pPr>
            <w:r/>
            <w:r>
              <w:rPr>
                <w:b w:val="0"/>
                <w:i w:val="0"/>
                <w:color w:val="1A1A1A"/>
                <w:sz w:val="17"/>
              </w:rPr>
              <w:t>Musik im Freien am Abend</w:t>
            </w:r>
          </w:p>
        </w:tc>
        <w:tc>
          <w:tcPr>
            <w:tcW w:type="dxa" w:w="2721"/>
            <w:shd w:val="clear" w:color="auto" w:fill="F3EFE6"/>
          </w:tcPr>
          <w:p>
            <w:pPr>
              <w:spacing w:after="0" w:before="0"/>
            </w:pPr>
            <w:r/>
            <w:r>
              <w:rPr>
                <w:b w:val="0"/>
                <w:i w:val="0"/>
                <w:color w:val="1A1A1A"/>
                <w:sz w:val="17"/>
              </w:rPr>
              <w:t>TA Lärm, Nachtzeit 22 bis 6 Uhr (Nr. 6.4); Anwendung auf Veranstaltungslärm im Einzelfall klären</w:t>
            </w:r>
          </w:p>
        </w:tc>
        <w:tc>
          <w:tcPr>
            <w:tcW w:type="dxa" w:w="2721"/>
            <w:shd w:val="clear" w:color="auto" w:fill="F3EFE6"/>
          </w:tcPr>
          <w:p>
            <w:pPr>
              <w:spacing w:after="0" w:before="0"/>
            </w:pPr>
            <w:r/>
            <w:r>
              <w:rPr>
                <w:b w:val="0"/>
                <w:i w:val="0"/>
                <w:color w:val="1A1A1A"/>
                <w:sz w:val="17"/>
              </w:rPr>
              <w:t>Landes- und Gemeinderecht</w:t>
            </w:r>
          </w:p>
        </w:tc>
        <w:tc>
          <w:tcPr>
            <w:tcW w:type="dxa" w:w="2721"/>
            <w:shd w:val="clear" w:color="auto" w:fill="F3EFE6"/>
          </w:tcPr>
          <w:p>
            <w:pPr>
              <w:spacing w:after="0" w:before="0"/>
            </w:pPr>
            <w:r/>
            <w:r>
              <w:rPr>
                <w:b w:val="0"/>
                <w:i w:val="0"/>
                <w:color w:val="1A1A1A"/>
                <w:sz w:val="17"/>
              </w:rPr>
              <w:t>kantonales und kommunales Recht</w:t>
            </w:r>
          </w:p>
        </w:tc>
      </w:tr>
      <w:tr>
        <w:trPr>
          <w:cantSplit w:val="true"/>
        </w:trPr>
        <w:tc>
          <w:tcPr>
            <w:tcW w:type="dxa" w:w="1474"/>
          </w:tcPr>
          <w:p>
            <w:pPr>
              <w:spacing w:after="0" w:before="0"/>
            </w:pPr>
            <w:r/>
            <w:r>
              <w:rPr>
                <w:b w:val="0"/>
                <w:i w:val="0"/>
                <w:color w:val="1A1A1A"/>
                <w:sz w:val="17"/>
              </w:rPr>
              <w:t>Personen im Bericht</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DSGVO</w:t>
            </w:r>
          </w:p>
        </w:tc>
        <w:tc>
          <w:tcPr>
            <w:tcW w:type="dxa" w:w="2721"/>
          </w:tcPr>
          <w:p>
            <w:pPr>
              <w:spacing w:after="0" w:before="0"/>
            </w:pPr>
            <w:r/>
            <w:r>
              <w:rPr>
                <w:b w:val="0"/>
                <w:i w:val="0"/>
                <w:color w:val="1A1A1A"/>
                <w:sz w:val="17"/>
              </w:rPr>
              <w:t>Datenschutzgesetz, revidiert, seit 1. September 2023</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3.12.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3.12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3.12 — Den Bericht an die oberste Leitung schreiben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