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pPr>
      <w:r>
        <w:rPr>
          <w:b/>
          <w:i w:val="0"/>
          <w:color w:val="8C5A2B"/>
          <w:sz w:val="18"/>
        </w:rPr>
        <w:t>ARBEITSMATERIAL 3.13</w:t>
      </w:r>
    </w:p>
    <w:p>
      <w:pPr>
        <w:pStyle w:val="Heading1"/>
      </w:pPr>
      <w:r>
        <w:t>Maßnahmen nachverfolgen und ihre Wirksamkeit an Daten nach der Maßnahme prüfen</w:t>
      </w:r>
    </w:p>
    <w:p>
      <w:pPr>
        <w:spacing w:after="0"/>
      </w:pPr>
      <w:r>
        <w:rPr>
          <w:b w:val="0"/>
          <w:i/>
          <w:color w:val="5A5A5A"/>
        </w:rPr>
        <w:t>Abschnitt 3.13 · Nachverfolgung und Wirksamkeit</w:t>
      </w:r>
    </w:p>
    <w:p>
      <w:pPr>
        <w:spacing w:after="160"/>
      </w:pPr>
      <w:r>
        <w:rPr>
          <w:b w:val="0"/>
          <w:i w:val="0"/>
          <w:color w:val="5A5A5A"/>
          <w:sz w:val="18"/>
        </w:rPr>
        <w:t>Modellfall im Buch: Zug</w:t>
      </w:r>
    </w:p>
    <w:tbl>
      <w:tblPr>
        <w:tblW w:type="auto" w:w="0"/>
        <w:tblLook w:firstColumn="1" w:firstRow="1" w:lastColumn="0" w:lastRow="0" w:noHBand="0" w:noVBand="1" w:val="04A0"/>
        <w:tblCellMar>
          <w:top w:w="120" w:type="dxa"/>
          <w:left w:w="160" w:type="dxa"/>
          <w:bottom w:w="120" w:type="dxa"/>
          <w:right w:w="160" w:type="dxa"/>
        </w:tblCellMar>
      </w:tblPr>
      <w:tblGrid>
        <w:gridCol w:w="9638"/>
      </w:tblGrid>
      <w:tr>
        <w:tc>
          <w:tcPr>
            <w:tcW w:type="dxa" w:w="9638"/>
            <w:shd w:val="clear" w:color="auto" w:fill="EFE7DC"/>
          </w:tcPr>
          <w:p>
            <w:r/>
            <w:r>
              <w:rPr>
                <w:b/>
                <w:color w:val="8C5A2B"/>
                <w:sz w:val="18"/>
              </w:rPr>
              <w:t>LEITFRAGE</w:t>
              <w:br/>
            </w:r>
            <w:r>
              <w:rPr>
                <w:sz w:val="21"/>
              </w:rPr>
              <w:t>Wie viele Massnahmen aus Ihrem letzten internen Audit stehen bei Ihnen auf «erledigt», und bei welchem Anlass hat jemand nachgesehen, ob sie wirken? Und woran hätten Sie erkannt, dass eine von ihnen nicht wirkt?</w:t>
            </w:r>
          </w:p>
        </w:tc>
      </w:tr>
    </w:tbl>
    <w:p>
      <w:pPr>
        <w:spacing w:after="0"/>
      </w:pPr>
    </w:p>
    <w:p>
      <w:r>
        <w:rPr>
          <w:sz w:val="18"/>
        </w:rPr>
        <w:t>Dieses Blatt gibt das Arbeitsmaterial des Abschnitts in bearbeitbarer Form wieder. Die Texte stammen aus dem Buch; die leeren Spalten sind für die Angaben des eigenen Hauses bestimmt.</w:t>
      </w:r>
    </w:p>
    <w:p>
      <w:pPr>
        <w:pStyle w:val="Heading2"/>
      </w:pPr>
      <w:r>
        <w:t>Das Werkzeug: Vier Zustände einer Massnahme bei der Nachprüfung</w:t>
      </w:r>
    </w:p>
    <w:tbl>
      <w:tblPr>
        <w:tblW w:type="auto" w:w="0"/>
        <w:jc w:val="center"/>
        <w:tblLook w:firstColumn="1" w:firstRow="1" w:lastColumn="0" w:lastRow="0" w:noHBand="0" w:noVBand="1" w:val="04A0"/>
        <w:tblBorders>
          <w:top w:val="single" w:sz="4" w:color="D9CBB5"/>
          <w:left w:val="single" w:sz="4" w:color="D9CBB5"/>
          <w:bottom w:val="single" w:sz="4" w:color="D9CBB5"/>
          <w:right w:val="single" w:sz="4" w:color="D9CBB5"/>
          <w:insideH w:val="single" w:sz="4" w:color="D9CBB5"/>
          <w:insideV w:val="single" w:sz="4" w:color="D9CBB5"/>
        </w:tblBorders>
        <w:tblLayout w:type="fixed"/>
        <w:tblCellMar>
          <w:top w:w="60" w:type="dxa"/>
          <w:left w:w="90" w:type="dxa"/>
          <w:bottom w:w="60" w:type="dxa"/>
          <w:right w:w="90" w:type="dxa"/>
        </w:tblCellMar>
      </w:tblPr>
      <w:tblGrid>
        <w:gridCol w:w="3213"/>
        <w:gridCol w:w="3213"/>
        <w:gridCol w:w="3213"/>
      </w:tblGrid>
      <w:tr>
        <w:trPr>
          <w:cantSplit w:val="true"/>
          <w:tblHeader w:val="true"/>
        </w:trPr>
        <w:tc>
          <w:tcPr>
            <w:tcW w:type="dxa" w:w="3213"/>
            <w:shd w:val="clear" w:color="auto" w:fill="8C5A2B"/>
          </w:tcPr>
          <w:p>
            <w:pPr>
              <w:spacing w:after="0" w:before="0"/>
            </w:pPr>
            <w:r/>
            <w:r>
              <w:rPr>
                <w:b/>
                <w:i w:val="0"/>
                <w:color w:val="FFFFFF"/>
                <w:sz w:val="18"/>
              </w:rPr>
              <w:t>Zustand</w:t>
            </w:r>
          </w:p>
        </w:tc>
        <w:tc>
          <w:tcPr>
            <w:tcW w:type="dxa" w:w="3213"/>
            <w:shd w:val="clear" w:color="auto" w:fill="8C5A2B"/>
          </w:tcPr>
          <w:p>
            <w:pPr>
              <w:spacing w:after="0" w:before="0"/>
            </w:pPr>
            <w:r/>
            <w:r>
              <w:rPr>
                <w:b/>
                <w:i w:val="0"/>
                <w:color w:val="FFFFFF"/>
                <w:sz w:val="18"/>
              </w:rPr>
              <w:t>Woran erkennbar</w:t>
            </w:r>
          </w:p>
        </w:tc>
        <w:tc>
          <w:tcPr>
            <w:tcW w:type="dxa" w:w="3213"/>
            <w:shd w:val="clear" w:color="auto" w:fill="8C5A2B"/>
          </w:tcPr>
          <w:p>
            <w:pPr>
              <w:spacing w:after="0" w:before="0"/>
            </w:pPr>
            <w:r/>
            <w:r>
              <w:rPr>
                <w:b/>
                <w:i w:val="0"/>
                <w:color w:val="FFFFFF"/>
                <w:sz w:val="18"/>
              </w:rPr>
              <w:t>Was folgt</w:t>
            </w:r>
          </w:p>
        </w:tc>
      </w:tr>
      <w:tr>
        <w:trPr>
          <w:cantSplit w:val="true"/>
        </w:trPr>
        <w:tc>
          <w:tcPr>
            <w:tcW w:type="dxa" w:w="3213"/>
          </w:tcPr>
          <w:p>
            <w:pPr>
              <w:spacing w:after="0" w:before="0"/>
            </w:pPr>
            <w:r/>
            <w:r>
              <w:rPr>
                <w:b w:val="0"/>
                <w:i w:val="0"/>
                <w:color w:val="1A1A1A"/>
                <w:sz w:val="18"/>
              </w:rPr>
              <w:t>nicht umgesetzt</w:t>
            </w:r>
          </w:p>
        </w:tc>
        <w:tc>
          <w:tcPr>
            <w:tcW w:type="dxa" w:w="3213"/>
          </w:tcPr>
          <w:p>
            <w:pPr>
              <w:spacing w:after="0" w:before="0"/>
            </w:pPr>
            <w:r/>
            <w:r>
              <w:rPr>
                <w:b w:val="0"/>
                <w:i w:val="0"/>
                <w:color w:val="1A1A1A"/>
                <w:sz w:val="18"/>
              </w:rPr>
              <w:t>die festgelegte Handlung hat nicht stattgefunden</w:t>
            </w:r>
          </w:p>
        </w:tc>
        <w:tc>
          <w:tcPr>
            <w:tcW w:type="dxa" w:w="3213"/>
          </w:tcPr>
          <w:p>
            <w:pPr>
              <w:spacing w:after="0" w:before="0"/>
            </w:pPr>
            <w:r/>
            <w:r>
              <w:rPr>
                <w:b w:val="0"/>
                <w:i w:val="0"/>
                <w:color w:val="1A1A1A"/>
                <w:sz w:val="18"/>
              </w:rPr>
              <w:t>Termin und Verantwortung klären; Leitung informieren</w:t>
            </w:r>
          </w:p>
        </w:tc>
      </w:tr>
      <w:tr>
        <w:trPr>
          <w:cantSplit w:val="true"/>
        </w:trPr>
        <w:tc>
          <w:tcPr>
            <w:tcW w:type="dxa" w:w="3213"/>
            <w:shd w:val="clear" w:color="auto" w:fill="F3EFE6"/>
          </w:tcPr>
          <w:p>
            <w:pPr>
              <w:spacing w:after="0" w:before="0"/>
            </w:pPr>
            <w:r/>
            <w:r>
              <w:rPr>
                <w:b w:val="0"/>
                <w:i w:val="0"/>
                <w:color w:val="1A1A1A"/>
                <w:sz w:val="18"/>
              </w:rPr>
              <w:t>umgesetzt, aber nicht wie festgelegt</w:t>
            </w:r>
          </w:p>
        </w:tc>
        <w:tc>
          <w:tcPr>
            <w:tcW w:type="dxa" w:w="3213"/>
            <w:shd w:val="clear" w:color="auto" w:fill="F3EFE6"/>
          </w:tcPr>
          <w:p>
            <w:pPr>
              <w:spacing w:after="0" w:before="0"/>
            </w:pPr>
            <w:r/>
            <w:r>
              <w:rPr>
                <w:b w:val="0"/>
                <w:i w:val="0"/>
                <w:color w:val="1A1A1A"/>
                <w:sz w:val="18"/>
              </w:rPr>
              <w:t>die Regel lebt im Alltag in anderer Form</w:t>
            </w:r>
          </w:p>
        </w:tc>
        <w:tc>
          <w:tcPr>
            <w:tcW w:type="dxa" w:w="3213"/>
            <w:shd w:val="clear" w:color="auto" w:fill="F3EFE6"/>
          </w:tcPr>
          <w:p>
            <w:pPr>
              <w:spacing w:after="0" w:before="0"/>
            </w:pPr>
            <w:r/>
            <w:r>
              <w:rPr>
                <w:b w:val="0"/>
                <w:i w:val="0"/>
                <w:color w:val="1A1A1A"/>
                <w:sz w:val="18"/>
              </w:rPr>
              <w:t>Vorgang offen; Ursache neu suchen; Ablauf festlegen, nicht nur die Handlung</w:t>
            </w:r>
          </w:p>
        </w:tc>
      </w:tr>
      <w:tr>
        <w:trPr>
          <w:cantSplit w:val="true"/>
        </w:trPr>
        <w:tc>
          <w:tcPr>
            <w:tcW w:type="dxa" w:w="3213"/>
          </w:tcPr>
          <w:p>
            <w:pPr>
              <w:spacing w:after="0" w:before="0"/>
            </w:pPr>
            <w:r/>
            <w:r>
              <w:rPr>
                <w:b w:val="0"/>
                <w:i w:val="0"/>
                <w:color w:val="1A1A1A"/>
                <w:sz w:val="18"/>
              </w:rPr>
              <w:t>umgesetzt, Wirkung nicht feststellbar</w:t>
            </w:r>
          </w:p>
        </w:tc>
        <w:tc>
          <w:tcPr>
            <w:tcW w:type="dxa" w:w="3213"/>
          </w:tcPr>
          <w:p>
            <w:pPr>
              <w:spacing w:after="0" w:before="0"/>
            </w:pPr>
            <w:r/>
            <w:r>
              <w:rPr>
                <w:b w:val="0"/>
                <w:i w:val="0"/>
                <w:color w:val="1A1A1A"/>
                <w:sz w:val="18"/>
              </w:rPr>
              <w:t>es fehlen Daten nach der Massnahme oder Anlässe</w:t>
            </w:r>
          </w:p>
        </w:tc>
        <w:tc>
          <w:tcPr>
            <w:tcW w:type="dxa" w:w="3213"/>
          </w:tcPr>
          <w:p>
            <w:pPr>
              <w:spacing w:after="0" w:before="0"/>
            </w:pPr>
            <w:r/>
            <w:r>
              <w:rPr>
                <w:b w:val="0"/>
                <w:i w:val="0"/>
                <w:color w:val="1A1A1A"/>
                <w:sz w:val="18"/>
              </w:rPr>
              <w:t>Datenquelle schaffen; neuer Termin nach einer Zahl von Anlässen</w:t>
            </w:r>
          </w:p>
        </w:tc>
      </w:tr>
      <w:tr>
        <w:trPr>
          <w:cantSplit w:val="true"/>
        </w:trPr>
        <w:tc>
          <w:tcPr>
            <w:tcW w:type="dxa" w:w="3213"/>
            <w:shd w:val="clear" w:color="auto" w:fill="F3EFE6"/>
          </w:tcPr>
          <w:p>
            <w:pPr>
              <w:spacing w:after="0" w:before="0"/>
            </w:pPr>
            <w:r/>
            <w:r>
              <w:rPr>
                <w:b w:val="0"/>
                <w:i w:val="0"/>
                <w:color w:val="1A1A1A"/>
                <w:sz w:val="18"/>
              </w:rPr>
              <w:t>wirksam</w:t>
            </w:r>
          </w:p>
        </w:tc>
        <w:tc>
          <w:tcPr>
            <w:tcW w:type="dxa" w:w="3213"/>
            <w:shd w:val="clear" w:color="auto" w:fill="F3EFE6"/>
          </w:tcPr>
          <w:p>
            <w:pPr>
              <w:spacing w:after="0" w:before="0"/>
            </w:pPr>
            <w:r/>
            <w:r>
              <w:rPr>
                <w:b w:val="0"/>
                <w:i w:val="0"/>
                <w:color w:val="1A1A1A"/>
                <w:sz w:val="18"/>
              </w:rPr>
              <w:t>das Zeichen der Wirksamkeit ist an genug Anlässen erfüllt</w:t>
            </w:r>
          </w:p>
        </w:tc>
        <w:tc>
          <w:tcPr>
            <w:tcW w:type="dxa" w:w="3213"/>
            <w:shd w:val="clear" w:color="auto" w:fill="F3EFE6"/>
          </w:tcPr>
          <w:p>
            <w:pPr>
              <w:spacing w:after="0" w:before="0"/>
            </w:pPr>
            <w:r/>
            <w:r>
              <w:rPr>
                <w:b w:val="0"/>
                <w:i w:val="0"/>
                <w:color w:val="1A1A1A"/>
                <w:sz w:val="18"/>
              </w:rPr>
              <w:t>Vorgang schliessen; Regel im Formular oder Dienstplan verankern</w:t>
            </w:r>
          </w:p>
        </w:tc>
      </w:tr>
    </w:tbl>
    <w:p>
      <w:pPr>
        <w:spacing w:after="40"/>
      </w:pPr>
    </w:p>
    <w:p>
      <w:pPr>
        <w:pStyle w:val="Heading2"/>
      </w:pPr>
      <w:r>
        <w:t>Praktische Anwendung: Massnahmen in sieben Schritten nachverfolgen und ihre Wirksamkeit prüfen</w:t>
      </w:r>
    </w:p>
    <w:p>
      <w:pPr>
        <w:tabs>
          <w:tab w:pos="340" w:val="left"/>
        </w:tabs>
        <w:ind w:left="340" w:hanging="340"/>
      </w:pPr>
      <w:r>
        <w:rPr>
          <w:b/>
          <w:color w:val="8C5A2B"/>
        </w:rPr>
        <w:t>1.</w:t>
        <w:tab/>
      </w:r>
      <w:r>
        <w:rPr>
          <w:b/>
        </w:rPr>
        <w:t>Das Zeichen der Wirksamkeit bei der Festlegung aufschreiben.</w:t>
      </w:r>
      <w:r>
        <w:t xml:space="preserve"> Zu jeder Massnahme gehören eine Beobachtung, eine Quelle und eine Schwelle. Fehlt das Zeichen, wird die Massnahme nicht angenommen.</w:t>
      </w:r>
    </w:p>
    <w:p>
      <w:pPr>
        <w:tabs>
          <w:tab w:pos="340" w:val="left"/>
        </w:tabs>
        <w:ind w:left="340" w:hanging="340"/>
      </w:pPr>
      <w:r>
        <w:rPr>
          <w:b/>
          <w:color w:val="8C5A2B"/>
        </w:rPr>
        <w:t>2.</w:t>
        <w:tab/>
      </w:r>
      <w:r>
        <w:rPr>
          <w:b/>
        </w:rPr>
        <w:t>Umgesetzt und wirksam getrennt führen.</w:t>
      </w:r>
      <w:r>
        <w:t xml:space="preserve"> Die Massnahmenliste bekommt zwei Spalten. Die verantwortliche Person setzt die erste, die Nachprüfung die zweite.</w:t>
      </w:r>
    </w:p>
    <w:p>
      <w:pPr>
        <w:tabs>
          <w:tab w:pos="340" w:val="left"/>
        </w:tabs>
        <w:ind w:left="340" w:hanging="340"/>
      </w:pPr>
      <w:r>
        <w:rPr>
          <w:b/>
          <w:color w:val="8C5A2B"/>
        </w:rPr>
        <w:t>3.</w:t>
        <w:tab/>
      </w:r>
      <w:r>
        <w:rPr>
          <w:b/>
        </w:rPr>
        <w:t>Den Termin an Anlässe binden.</w:t>
      </w:r>
      <w:r>
        <w:t xml:space="preserve"> Legen Sie fest, nach wie vielen Anlässen welcher Art nachgeprüft wird. Der Kalender bestimmt nur den spätesten Termin.</w:t>
      </w:r>
    </w:p>
    <w:p>
      <w:pPr>
        <w:tabs>
          <w:tab w:pos="340" w:val="left"/>
        </w:tabs>
        <w:ind w:left="340" w:hanging="340"/>
      </w:pPr>
      <w:r>
        <w:rPr>
          <w:b/>
          <w:color w:val="8C5A2B"/>
        </w:rPr>
        <w:t>4.</w:t>
        <w:tab/>
      </w:r>
      <w:r>
        <w:rPr>
          <w:b/>
        </w:rPr>
        <w:t>Einen Anlass vor Ort beobachten.</w:t>
      </w:r>
      <w:r>
        <w:t xml:space="preserve"> Wählen Sie einen Abend, an dem die Regel am leichtesten bricht: spät, am Wochenende, mit Aushilfen. Notieren Sie Uhrzeit, Ort und was Sie gesehen haben.</w:t>
      </w:r>
    </w:p>
    <w:p>
      <w:pPr>
        <w:tabs>
          <w:tab w:pos="340" w:val="left"/>
        </w:tabs>
        <w:ind w:left="340" w:hanging="340"/>
      </w:pPr>
      <w:r>
        <w:rPr>
          <w:b/>
          <w:color w:val="8C5A2B"/>
        </w:rPr>
        <w:t>5.</w:t>
        <w:tab/>
      </w:r>
      <w:r>
        <w:rPr>
          <w:b/>
        </w:rPr>
        <w:t>Drei Quellen nebeneinanderlegen.</w:t>
      </w:r>
      <w:r>
        <w:t xml:space="preserve"> Daten nach der Massnahme, Beobachtung und ein Gespräch mit der Schicht. Prüfen Sie, ob die gelebte Regel noch die beschlossene ist.</w:t>
      </w:r>
    </w:p>
    <w:p>
      <w:pPr>
        <w:tabs>
          <w:tab w:pos="340" w:val="left"/>
        </w:tabs>
        <w:ind w:left="340" w:hanging="340"/>
      </w:pPr>
      <w:r>
        <w:rPr>
          <w:b/>
          <w:color w:val="8C5A2B"/>
        </w:rPr>
        <w:t>6.</w:t>
        <w:tab/>
      </w:r>
      <w:r>
        <w:rPr>
          <w:b/>
        </w:rPr>
        <w:t>Verbundene Massnahmen gemeinsam beurteilen.</w:t>
      </w:r>
      <w:r>
        <w:t xml:space="preserve"> Hängt das Urteil über eine Massnahme an den Daten einer anderen, wird das vermerkt. Keine der beiden schliesst, bevor die Daten da sind.</w:t>
      </w:r>
    </w:p>
    <w:p>
      <w:pPr>
        <w:tabs>
          <w:tab w:pos="340" w:val="left"/>
        </w:tabs>
        <w:ind w:left="340" w:hanging="340"/>
      </w:pPr>
      <w:r>
        <w:rPr>
          <w:b/>
          <w:color w:val="8C5A2B"/>
        </w:rPr>
        <w:t>7.</w:t>
        <w:tab/>
      </w:r>
      <w:r>
        <w:rPr>
          <w:b/>
        </w:rPr>
        <w:t>Offen lassen, was nicht wirkt.</w:t>
      </w:r>
      <w:r>
        <w:t xml:space="preserve"> Der Vorgang bleibt offen, die Ursache wird neu gesucht, und die Leitung erfährt den Zustand jeder Massnahme, nicht nur die Zahl der grünen Felder.</w:t>
      </w:r>
    </w:p>
    <w:p>
      <w:pPr>
        <w:keepNext/>
        <w:spacing w:after="40"/>
      </w:pPr>
      <w:r>
        <w:rPr>
          <w:b/>
          <w:i w:val="0"/>
          <w:color w:val="8C5A2B"/>
          <w:sz w:val="18"/>
        </w:rPr>
        <w:t>Umsetzung im eigenen Haus</w:t>
      </w:r>
    </w:p>
    <w:tbl>
      <w:tblPr>
        <w:tblW w:type="auto" w:w="0"/>
        <w:jc w:val="center"/>
        <w:tblLook w:firstColumn="1" w:firstRow="1" w:lastColumn="0" w:lastRow="0" w:noHBand="0" w:noVBand="1" w:val="04A0"/>
        <w:tblBorders>
          <w:top w:val="single" w:sz="4" w:color="D9CBB5"/>
          <w:left w:val="single" w:sz="4" w:color="D9CBB5"/>
          <w:bottom w:val="single" w:sz="4" w:color="D9CBB5"/>
          <w:right w:val="single" w:sz="4" w:color="D9CBB5"/>
          <w:insideH w:val="single" w:sz="4" w:color="D9CBB5"/>
          <w:insideV w:val="single" w:sz="4" w:color="D9CBB5"/>
        </w:tblBorders>
        <w:tblLayout w:type="fixed"/>
        <w:tblCellMar>
          <w:top w:w="60" w:type="dxa"/>
          <w:left w:w="90" w:type="dxa"/>
          <w:bottom w:w="60" w:type="dxa"/>
          <w:right w:w="90" w:type="dxa"/>
        </w:tblCellMar>
      </w:tblPr>
      <w:tblGrid>
        <w:gridCol w:w="4649"/>
        <w:gridCol w:w="2041"/>
        <w:gridCol w:w="1474"/>
        <w:gridCol w:w="1474"/>
      </w:tblGrid>
      <w:tr>
        <w:trPr>
          <w:cantSplit w:val="true"/>
          <w:tblHeader w:val="true"/>
        </w:trPr>
        <w:tc>
          <w:tcPr>
            <w:tcW w:type="dxa" w:w="4649"/>
            <w:shd w:val="clear" w:color="auto" w:fill="8C5A2B"/>
          </w:tcPr>
          <w:p>
            <w:pPr>
              <w:spacing w:after="0" w:before="0"/>
            </w:pPr>
            <w:r/>
            <w:r>
              <w:rPr>
                <w:b/>
                <w:i w:val="0"/>
                <w:color w:val="FFFFFF"/>
                <w:sz w:val="17"/>
              </w:rPr>
              <w:t>Schritt</w:t>
            </w:r>
          </w:p>
        </w:tc>
        <w:tc>
          <w:tcPr>
            <w:tcW w:type="dxa" w:w="2041"/>
            <w:shd w:val="clear" w:color="auto" w:fill="8C5A2B"/>
          </w:tcPr>
          <w:p>
            <w:pPr>
              <w:spacing w:after="0" w:before="0"/>
            </w:pPr>
            <w:r/>
            <w:r>
              <w:rPr>
                <w:b/>
                <w:i w:val="0"/>
                <w:color w:val="FFFFFF"/>
                <w:sz w:val="17"/>
              </w:rPr>
              <w:t>Verantwortlich</w:t>
            </w:r>
          </w:p>
        </w:tc>
        <w:tc>
          <w:tcPr>
            <w:tcW w:type="dxa" w:w="1474"/>
            <w:shd w:val="clear" w:color="auto" w:fill="8C5A2B"/>
          </w:tcPr>
          <w:p>
            <w:pPr>
              <w:spacing w:after="0" w:before="0"/>
            </w:pPr>
            <w:r/>
            <w:r>
              <w:rPr>
                <w:b/>
                <w:i w:val="0"/>
                <w:color w:val="FFFFFF"/>
                <w:sz w:val="17"/>
              </w:rPr>
              <w:t>Termin</w:t>
            </w:r>
          </w:p>
        </w:tc>
        <w:tc>
          <w:tcPr>
            <w:tcW w:type="dxa" w:w="1474"/>
            <w:shd w:val="clear" w:color="auto" w:fill="8C5A2B"/>
          </w:tcPr>
          <w:p>
            <w:pPr>
              <w:spacing w:after="0" w:before="0"/>
            </w:pPr>
            <w:r/>
            <w:r>
              <w:rPr>
                <w:b/>
                <w:i w:val="0"/>
                <w:color w:val="FFFFFF"/>
                <w:sz w:val="17"/>
              </w:rPr>
              <w:t>Erledigt</w:t>
            </w:r>
          </w:p>
        </w:tc>
      </w:tr>
      <w:tr>
        <w:trPr>
          <w:cantSplit w:val="true"/>
        </w:trPr>
        <w:tc>
          <w:tcPr>
            <w:tcW w:type="dxa" w:w="4649"/>
          </w:tcPr>
          <w:p>
            <w:pPr>
              <w:spacing w:after="0" w:before="0"/>
            </w:pPr>
            <w:r/>
            <w:r>
              <w:rPr>
                <w:b w:val="0"/>
                <w:i w:val="0"/>
                <w:color w:val="1A1A1A"/>
                <w:sz w:val="17"/>
              </w:rPr>
              <w:t>1. Das Zeichen der Wirksamkeit bei der Festlegung aufschreiben</w:t>
            </w:r>
          </w:p>
        </w:tc>
        <w:tc>
          <w:tcPr>
            <w:tcW w:type="dxa" w:w="2041"/>
          </w:tcPr>
          <w:p>
            <w:pPr>
              <w:spacing w:after="0" w:before="0"/>
            </w:pPr>
            <w:r/>
            <w:r>
              <w:rPr>
                <w:b w:val="0"/>
                <w:i w:val="0"/>
                <w:color w:val="1A1A1A"/>
                <w:sz w:val="17"/>
              </w:rPr>
            </w:r>
          </w:p>
        </w:tc>
        <w:tc>
          <w:tcPr>
            <w:tcW w:type="dxa" w:w="1474"/>
          </w:tcPr>
          <w:p>
            <w:pPr>
              <w:spacing w:after="0" w:before="0"/>
            </w:pPr>
            <w:r/>
            <w:r>
              <w:rPr>
                <w:b w:val="0"/>
                <w:i w:val="0"/>
                <w:color w:val="1A1A1A"/>
                <w:sz w:val="17"/>
              </w:rPr>
            </w:r>
          </w:p>
        </w:tc>
        <w:tc>
          <w:tcPr>
            <w:tcW w:type="dxa" w:w="1474"/>
          </w:tcPr>
          <w:p>
            <w:pPr>
              <w:spacing w:after="0" w:before="0"/>
            </w:pPr>
            <w:r/>
            <w:r>
              <w:rPr>
                <w:b w:val="0"/>
                <w:i w:val="0"/>
                <w:color w:val="1A1A1A"/>
                <w:sz w:val="17"/>
              </w:rPr>
            </w:r>
          </w:p>
        </w:tc>
      </w:tr>
      <w:tr>
        <w:trPr>
          <w:cantSplit w:val="true"/>
        </w:trPr>
        <w:tc>
          <w:tcPr>
            <w:tcW w:type="dxa" w:w="4649"/>
            <w:shd w:val="clear" w:color="auto" w:fill="F3EFE6"/>
          </w:tcPr>
          <w:p>
            <w:pPr>
              <w:spacing w:after="0" w:before="0"/>
            </w:pPr>
            <w:r/>
            <w:r>
              <w:rPr>
                <w:b w:val="0"/>
                <w:i w:val="0"/>
                <w:color w:val="1A1A1A"/>
                <w:sz w:val="17"/>
              </w:rPr>
              <w:t>2. Umgesetzt und wirksam getrennt führen</w:t>
            </w:r>
          </w:p>
        </w:tc>
        <w:tc>
          <w:tcPr>
            <w:tcW w:type="dxa" w:w="2041"/>
            <w:shd w:val="clear" w:color="auto" w:fill="F3EFE6"/>
          </w:tcPr>
          <w:p>
            <w:pPr>
              <w:spacing w:after="0" w:before="0"/>
            </w:pPr>
            <w:r/>
            <w:r>
              <w:rPr>
                <w:b w:val="0"/>
                <w:i w:val="0"/>
                <w:color w:val="1A1A1A"/>
                <w:sz w:val="17"/>
              </w:rPr>
            </w:r>
          </w:p>
        </w:tc>
        <w:tc>
          <w:tcPr>
            <w:tcW w:type="dxa" w:w="1474"/>
            <w:shd w:val="clear" w:color="auto" w:fill="F3EFE6"/>
          </w:tcPr>
          <w:p>
            <w:pPr>
              <w:spacing w:after="0" w:before="0"/>
            </w:pPr>
            <w:r/>
            <w:r>
              <w:rPr>
                <w:b w:val="0"/>
                <w:i w:val="0"/>
                <w:color w:val="1A1A1A"/>
                <w:sz w:val="17"/>
              </w:rPr>
            </w:r>
          </w:p>
        </w:tc>
        <w:tc>
          <w:tcPr>
            <w:tcW w:type="dxa" w:w="1474"/>
            <w:shd w:val="clear" w:color="auto" w:fill="F3EFE6"/>
          </w:tcPr>
          <w:p>
            <w:pPr>
              <w:spacing w:after="0" w:before="0"/>
            </w:pPr>
            <w:r/>
            <w:r>
              <w:rPr>
                <w:b w:val="0"/>
                <w:i w:val="0"/>
                <w:color w:val="1A1A1A"/>
                <w:sz w:val="17"/>
              </w:rPr>
            </w:r>
          </w:p>
        </w:tc>
      </w:tr>
      <w:tr>
        <w:trPr>
          <w:cantSplit w:val="true"/>
        </w:trPr>
        <w:tc>
          <w:tcPr>
            <w:tcW w:type="dxa" w:w="4649"/>
          </w:tcPr>
          <w:p>
            <w:pPr>
              <w:spacing w:after="0" w:before="0"/>
            </w:pPr>
            <w:r/>
            <w:r>
              <w:rPr>
                <w:b w:val="0"/>
                <w:i w:val="0"/>
                <w:color w:val="1A1A1A"/>
                <w:sz w:val="17"/>
              </w:rPr>
              <w:t>3. Den Termin an Anlässe binden</w:t>
            </w:r>
          </w:p>
        </w:tc>
        <w:tc>
          <w:tcPr>
            <w:tcW w:type="dxa" w:w="2041"/>
          </w:tcPr>
          <w:p>
            <w:pPr>
              <w:spacing w:after="0" w:before="0"/>
            </w:pPr>
            <w:r/>
            <w:r>
              <w:rPr>
                <w:b w:val="0"/>
                <w:i w:val="0"/>
                <w:color w:val="1A1A1A"/>
                <w:sz w:val="17"/>
              </w:rPr>
            </w:r>
          </w:p>
        </w:tc>
        <w:tc>
          <w:tcPr>
            <w:tcW w:type="dxa" w:w="1474"/>
          </w:tcPr>
          <w:p>
            <w:pPr>
              <w:spacing w:after="0" w:before="0"/>
            </w:pPr>
            <w:r/>
            <w:r>
              <w:rPr>
                <w:b w:val="0"/>
                <w:i w:val="0"/>
                <w:color w:val="1A1A1A"/>
                <w:sz w:val="17"/>
              </w:rPr>
            </w:r>
          </w:p>
        </w:tc>
        <w:tc>
          <w:tcPr>
            <w:tcW w:type="dxa" w:w="1474"/>
          </w:tcPr>
          <w:p>
            <w:pPr>
              <w:spacing w:after="0" w:before="0"/>
            </w:pPr>
            <w:r/>
            <w:r>
              <w:rPr>
                <w:b w:val="0"/>
                <w:i w:val="0"/>
                <w:color w:val="1A1A1A"/>
                <w:sz w:val="17"/>
              </w:rPr>
            </w:r>
          </w:p>
        </w:tc>
      </w:tr>
      <w:tr>
        <w:trPr>
          <w:cantSplit w:val="true"/>
        </w:trPr>
        <w:tc>
          <w:tcPr>
            <w:tcW w:type="dxa" w:w="4649"/>
            <w:shd w:val="clear" w:color="auto" w:fill="F3EFE6"/>
          </w:tcPr>
          <w:p>
            <w:pPr>
              <w:spacing w:after="0" w:before="0"/>
            </w:pPr>
            <w:r/>
            <w:r>
              <w:rPr>
                <w:b w:val="0"/>
                <w:i w:val="0"/>
                <w:color w:val="1A1A1A"/>
                <w:sz w:val="17"/>
              </w:rPr>
              <w:t>4. Einen Anlass vor Ort beobachten</w:t>
            </w:r>
          </w:p>
        </w:tc>
        <w:tc>
          <w:tcPr>
            <w:tcW w:type="dxa" w:w="2041"/>
            <w:shd w:val="clear" w:color="auto" w:fill="F3EFE6"/>
          </w:tcPr>
          <w:p>
            <w:pPr>
              <w:spacing w:after="0" w:before="0"/>
            </w:pPr>
            <w:r/>
            <w:r>
              <w:rPr>
                <w:b w:val="0"/>
                <w:i w:val="0"/>
                <w:color w:val="1A1A1A"/>
                <w:sz w:val="17"/>
              </w:rPr>
            </w:r>
          </w:p>
        </w:tc>
        <w:tc>
          <w:tcPr>
            <w:tcW w:type="dxa" w:w="1474"/>
            <w:shd w:val="clear" w:color="auto" w:fill="F3EFE6"/>
          </w:tcPr>
          <w:p>
            <w:pPr>
              <w:spacing w:after="0" w:before="0"/>
            </w:pPr>
            <w:r/>
            <w:r>
              <w:rPr>
                <w:b w:val="0"/>
                <w:i w:val="0"/>
                <w:color w:val="1A1A1A"/>
                <w:sz w:val="17"/>
              </w:rPr>
            </w:r>
          </w:p>
        </w:tc>
        <w:tc>
          <w:tcPr>
            <w:tcW w:type="dxa" w:w="1474"/>
            <w:shd w:val="clear" w:color="auto" w:fill="F3EFE6"/>
          </w:tcPr>
          <w:p>
            <w:pPr>
              <w:spacing w:after="0" w:before="0"/>
            </w:pPr>
            <w:r/>
            <w:r>
              <w:rPr>
                <w:b w:val="0"/>
                <w:i w:val="0"/>
                <w:color w:val="1A1A1A"/>
                <w:sz w:val="17"/>
              </w:rPr>
            </w:r>
          </w:p>
        </w:tc>
      </w:tr>
      <w:tr>
        <w:trPr>
          <w:cantSplit w:val="true"/>
        </w:trPr>
        <w:tc>
          <w:tcPr>
            <w:tcW w:type="dxa" w:w="4649"/>
          </w:tcPr>
          <w:p>
            <w:pPr>
              <w:spacing w:after="0" w:before="0"/>
            </w:pPr>
            <w:r/>
            <w:r>
              <w:rPr>
                <w:b w:val="0"/>
                <w:i w:val="0"/>
                <w:color w:val="1A1A1A"/>
                <w:sz w:val="17"/>
              </w:rPr>
              <w:t>5. Drei Quellen nebeneinanderlegen</w:t>
            </w:r>
          </w:p>
        </w:tc>
        <w:tc>
          <w:tcPr>
            <w:tcW w:type="dxa" w:w="2041"/>
          </w:tcPr>
          <w:p>
            <w:pPr>
              <w:spacing w:after="0" w:before="0"/>
            </w:pPr>
            <w:r/>
            <w:r>
              <w:rPr>
                <w:b w:val="0"/>
                <w:i w:val="0"/>
                <w:color w:val="1A1A1A"/>
                <w:sz w:val="17"/>
              </w:rPr>
            </w:r>
          </w:p>
        </w:tc>
        <w:tc>
          <w:tcPr>
            <w:tcW w:type="dxa" w:w="1474"/>
          </w:tcPr>
          <w:p>
            <w:pPr>
              <w:spacing w:after="0" w:before="0"/>
            </w:pPr>
            <w:r/>
            <w:r>
              <w:rPr>
                <w:b w:val="0"/>
                <w:i w:val="0"/>
                <w:color w:val="1A1A1A"/>
                <w:sz w:val="17"/>
              </w:rPr>
            </w:r>
          </w:p>
        </w:tc>
        <w:tc>
          <w:tcPr>
            <w:tcW w:type="dxa" w:w="1474"/>
          </w:tcPr>
          <w:p>
            <w:pPr>
              <w:spacing w:after="0" w:before="0"/>
            </w:pPr>
            <w:r/>
            <w:r>
              <w:rPr>
                <w:b w:val="0"/>
                <w:i w:val="0"/>
                <w:color w:val="1A1A1A"/>
                <w:sz w:val="17"/>
              </w:rPr>
            </w:r>
          </w:p>
        </w:tc>
      </w:tr>
      <w:tr>
        <w:trPr>
          <w:cantSplit w:val="true"/>
        </w:trPr>
        <w:tc>
          <w:tcPr>
            <w:tcW w:type="dxa" w:w="4649"/>
            <w:shd w:val="clear" w:color="auto" w:fill="F3EFE6"/>
          </w:tcPr>
          <w:p>
            <w:pPr>
              <w:spacing w:after="0" w:before="0"/>
            </w:pPr>
            <w:r/>
            <w:r>
              <w:rPr>
                <w:b w:val="0"/>
                <w:i w:val="0"/>
                <w:color w:val="1A1A1A"/>
                <w:sz w:val="17"/>
              </w:rPr>
              <w:t>6. Verbundene Massnahmen gemeinsam beurteilen</w:t>
            </w:r>
          </w:p>
        </w:tc>
        <w:tc>
          <w:tcPr>
            <w:tcW w:type="dxa" w:w="2041"/>
            <w:shd w:val="clear" w:color="auto" w:fill="F3EFE6"/>
          </w:tcPr>
          <w:p>
            <w:pPr>
              <w:spacing w:after="0" w:before="0"/>
            </w:pPr>
            <w:r/>
            <w:r>
              <w:rPr>
                <w:b w:val="0"/>
                <w:i w:val="0"/>
                <w:color w:val="1A1A1A"/>
                <w:sz w:val="17"/>
              </w:rPr>
            </w:r>
          </w:p>
        </w:tc>
        <w:tc>
          <w:tcPr>
            <w:tcW w:type="dxa" w:w="1474"/>
            <w:shd w:val="clear" w:color="auto" w:fill="F3EFE6"/>
          </w:tcPr>
          <w:p>
            <w:pPr>
              <w:spacing w:after="0" w:before="0"/>
            </w:pPr>
            <w:r/>
            <w:r>
              <w:rPr>
                <w:b w:val="0"/>
                <w:i w:val="0"/>
                <w:color w:val="1A1A1A"/>
                <w:sz w:val="17"/>
              </w:rPr>
            </w:r>
          </w:p>
        </w:tc>
        <w:tc>
          <w:tcPr>
            <w:tcW w:type="dxa" w:w="1474"/>
            <w:shd w:val="clear" w:color="auto" w:fill="F3EFE6"/>
          </w:tcPr>
          <w:p>
            <w:pPr>
              <w:spacing w:after="0" w:before="0"/>
            </w:pPr>
            <w:r/>
            <w:r>
              <w:rPr>
                <w:b w:val="0"/>
                <w:i w:val="0"/>
                <w:color w:val="1A1A1A"/>
                <w:sz w:val="17"/>
              </w:rPr>
            </w:r>
          </w:p>
        </w:tc>
      </w:tr>
      <w:tr>
        <w:trPr>
          <w:cantSplit w:val="true"/>
        </w:trPr>
        <w:tc>
          <w:tcPr>
            <w:tcW w:type="dxa" w:w="4649"/>
          </w:tcPr>
          <w:p>
            <w:pPr>
              <w:spacing w:after="0" w:before="0"/>
            </w:pPr>
            <w:r/>
            <w:r>
              <w:rPr>
                <w:b w:val="0"/>
                <w:i w:val="0"/>
                <w:color w:val="1A1A1A"/>
                <w:sz w:val="17"/>
              </w:rPr>
              <w:t>7. Offen lassen, was nicht wirkt</w:t>
            </w:r>
          </w:p>
        </w:tc>
        <w:tc>
          <w:tcPr>
            <w:tcW w:type="dxa" w:w="2041"/>
          </w:tcPr>
          <w:p>
            <w:pPr>
              <w:spacing w:after="0" w:before="0"/>
            </w:pPr>
            <w:r/>
            <w:r>
              <w:rPr>
                <w:b w:val="0"/>
                <w:i w:val="0"/>
                <w:color w:val="1A1A1A"/>
                <w:sz w:val="17"/>
              </w:rPr>
            </w:r>
          </w:p>
        </w:tc>
        <w:tc>
          <w:tcPr>
            <w:tcW w:type="dxa" w:w="1474"/>
          </w:tcPr>
          <w:p>
            <w:pPr>
              <w:spacing w:after="0" w:before="0"/>
            </w:pPr>
            <w:r/>
            <w:r>
              <w:rPr>
                <w:b w:val="0"/>
                <w:i w:val="0"/>
                <w:color w:val="1A1A1A"/>
                <w:sz w:val="17"/>
              </w:rPr>
            </w:r>
          </w:p>
        </w:tc>
        <w:tc>
          <w:tcPr>
            <w:tcW w:type="dxa" w:w="1474"/>
          </w:tcPr>
          <w:p>
            <w:pPr>
              <w:spacing w:after="0" w:before="0"/>
            </w:pPr>
            <w:r/>
            <w:r>
              <w:rPr>
                <w:b w:val="0"/>
                <w:i w:val="0"/>
                <w:color w:val="1A1A1A"/>
                <w:sz w:val="17"/>
              </w:rPr>
            </w:r>
          </w:p>
        </w:tc>
      </w:tr>
    </w:tbl>
    <w:p>
      <w:pPr>
        <w:spacing w:after="40"/>
      </w:pPr>
    </w:p>
    <w:p>
      <w:pPr>
        <w:pStyle w:val="Heading2"/>
      </w:pPr>
      <w:r>
        <w:t>Prüf-Checkliste</w:t>
      </w:r>
    </w:p>
    <w:tbl>
      <w:tblPr>
        <w:tblW w:type="auto" w:w="0"/>
        <w:jc w:val="center"/>
        <w:tblLook w:firstColumn="1" w:firstRow="1" w:lastColumn="0" w:lastRow="0" w:noHBand="0" w:noVBand="1" w:val="04A0"/>
        <w:tblBorders>
          <w:top w:val="single" w:sz="4" w:color="D9CBB5"/>
          <w:left w:val="single" w:sz="4" w:color="D9CBB5"/>
          <w:bottom w:val="single" w:sz="4" w:color="D9CBB5"/>
          <w:right w:val="single" w:sz="4" w:color="D9CBB5"/>
          <w:insideH w:val="single" w:sz="4" w:color="D9CBB5"/>
          <w:insideV w:val="single" w:sz="4" w:color="D9CBB5"/>
        </w:tblBorders>
        <w:tblLayout w:type="fixed"/>
        <w:tblCellMar>
          <w:top w:w="60" w:type="dxa"/>
          <w:left w:w="90" w:type="dxa"/>
          <w:bottom w:w="60" w:type="dxa"/>
          <w:right w:w="90" w:type="dxa"/>
        </w:tblCellMar>
      </w:tblPr>
      <w:tblGrid>
        <w:gridCol w:w="5216"/>
        <w:gridCol w:w="680"/>
        <w:gridCol w:w="680"/>
        <w:gridCol w:w="3061"/>
      </w:tblGrid>
      <w:tr>
        <w:trPr>
          <w:cantSplit w:val="true"/>
          <w:tblHeader w:val="true"/>
        </w:trPr>
        <w:tc>
          <w:tcPr>
            <w:tcW w:type="dxa" w:w="5216"/>
            <w:shd w:val="clear" w:color="auto" w:fill="8C5A2B"/>
          </w:tcPr>
          <w:p>
            <w:pPr>
              <w:spacing w:after="0" w:before="0"/>
            </w:pPr>
            <w:r/>
            <w:r>
              <w:rPr>
                <w:b/>
                <w:i w:val="0"/>
                <w:color w:val="FFFFFF"/>
                <w:sz w:val="18"/>
              </w:rPr>
              <w:t>Frage</w:t>
            </w:r>
          </w:p>
        </w:tc>
        <w:tc>
          <w:tcPr>
            <w:tcW w:type="dxa" w:w="680"/>
            <w:shd w:val="clear" w:color="auto" w:fill="8C5A2B"/>
          </w:tcPr>
          <w:p>
            <w:pPr>
              <w:spacing w:after="0" w:before="0"/>
            </w:pPr>
            <w:r/>
            <w:r>
              <w:rPr>
                <w:b/>
                <w:i w:val="0"/>
                <w:color w:val="FFFFFF"/>
                <w:sz w:val="18"/>
              </w:rPr>
              <w:t>Ja</w:t>
            </w:r>
          </w:p>
        </w:tc>
        <w:tc>
          <w:tcPr>
            <w:tcW w:type="dxa" w:w="680"/>
            <w:shd w:val="clear" w:color="auto" w:fill="8C5A2B"/>
          </w:tcPr>
          <w:p>
            <w:pPr>
              <w:spacing w:after="0" w:before="0"/>
            </w:pPr>
            <w:r/>
            <w:r>
              <w:rPr>
                <w:b/>
                <w:i w:val="0"/>
                <w:color w:val="FFFFFF"/>
                <w:sz w:val="18"/>
              </w:rPr>
              <w:t>Nein</w:t>
            </w:r>
          </w:p>
        </w:tc>
        <w:tc>
          <w:tcPr>
            <w:tcW w:type="dxa" w:w="3061"/>
            <w:shd w:val="clear" w:color="auto" w:fill="8C5A2B"/>
          </w:tcPr>
          <w:p>
            <w:pPr>
              <w:spacing w:after="0" w:before="0"/>
            </w:pPr>
            <w:r/>
            <w:r>
              <w:rPr>
                <w:b/>
                <w:i w:val="0"/>
                <w:color w:val="FFFFFF"/>
                <w:sz w:val="18"/>
              </w:rPr>
              <w:t>Nachweis / Bemerkung</w:t>
            </w:r>
          </w:p>
        </w:tc>
      </w:tr>
      <w:tr>
        <w:trPr>
          <w:cantSplit w:val="true"/>
        </w:trPr>
        <w:tc>
          <w:tcPr>
            <w:tcW w:type="dxa" w:w="5216"/>
          </w:tcPr>
          <w:p>
            <w:pPr>
              <w:spacing w:after="0" w:before="0"/>
            </w:pPr>
            <w:r/>
            <w:r>
              <w:rPr>
                <w:b w:val="0"/>
                <w:i w:val="0"/>
                <w:color w:val="1A1A1A"/>
                <w:sz w:val="18"/>
              </w:rPr>
              <w:t>Steht zu jeder Massnahme, woran ihre Wirksamkeit erkannt wird?</w:t>
            </w:r>
          </w:p>
        </w:tc>
        <w:tc>
          <w:tcPr>
            <w:tcW w:type="dxa" w:w="680"/>
          </w:tcPr>
          <w:p>
            <w:pPr>
              <w:spacing w:after="0" w:before="0"/>
            </w:pPr>
            <w:r/>
            <w:r>
              <w:rPr>
                <w:b w:val="0"/>
                <w:i w:val="0"/>
                <w:color w:val="1A1A1A"/>
                <w:sz w:val="18"/>
              </w:rPr>
            </w:r>
          </w:p>
        </w:tc>
        <w:tc>
          <w:tcPr>
            <w:tcW w:type="dxa" w:w="680"/>
          </w:tcPr>
          <w:p>
            <w:pPr>
              <w:spacing w:after="0" w:before="0"/>
            </w:pPr>
            <w:r/>
            <w:r>
              <w:rPr>
                <w:b w:val="0"/>
                <w:i w:val="0"/>
                <w:color w:val="1A1A1A"/>
                <w:sz w:val="18"/>
              </w:rPr>
            </w:r>
          </w:p>
        </w:tc>
        <w:tc>
          <w:tcPr>
            <w:tcW w:type="dxa" w:w="3061"/>
          </w:tcPr>
          <w:p>
            <w:pPr>
              <w:spacing w:after="0" w:before="0"/>
            </w:pPr>
            <w:r/>
            <w:r>
              <w:rPr>
                <w:b w:val="0"/>
                <w:i w:val="0"/>
                <w:color w:val="1A1A1A"/>
                <w:sz w:val="18"/>
              </w:rPr>
            </w:r>
          </w:p>
        </w:tc>
      </w:tr>
      <w:tr>
        <w:trPr>
          <w:cantSplit w:val="true"/>
        </w:trPr>
        <w:tc>
          <w:tcPr>
            <w:tcW w:type="dxa" w:w="5216"/>
            <w:shd w:val="clear" w:color="auto" w:fill="F3EFE6"/>
          </w:tcPr>
          <w:p>
            <w:pPr>
              <w:spacing w:after="0" w:before="0"/>
            </w:pPr>
            <w:r/>
            <w:r>
              <w:rPr>
                <w:b w:val="0"/>
                <w:i w:val="0"/>
                <w:color w:val="1A1A1A"/>
                <w:sz w:val="18"/>
              </w:rPr>
              <w:t>Unterscheidet unsere Liste zwischen umgesetzt und wirksam?</w:t>
            </w:r>
          </w:p>
        </w:tc>
        <w:tc>
          <w:tcPr>
            <w:tcW w:type="dxa" w:w="680"/>
            <w:shd w:val="clear" w:color="auto" w:fill="F3EFE6"/>
          </w:tcPr>
          <w:p>
            <w:pPr>
              <w:spacing w:after="0" w:before="0"/>
            </w:pPr>
            <w:r/>
            <w:r>
              <w:rPr>
                <w:b w:val="0"/>
                <w:i w:val="0"/>
                <w:color w:val="1A1A1A"/>
                <w:sz w:val="18"/>
              </w:rPr>
            </w:r>
          </w:p>
        </w:tc>
        <w:tc>
          <w:tcPr>
            <w:tcW w:type="dxa" w:w="680"/>
            <w:shd w:val="clear" w:color="auto" w:fill="F3EFE6"/>
          </w:tcPr>
          <w:p>
            <w:pPr>
              <w:spacing w:after="0" w:before="0"/>
            </w:pPr>
            <w:r/>
            <w:r>
              <w:rPr>
                <w:b w:val="0"/>
                <w:i w:val="0"/>
                <w:color w:val="1A1A1A"/>
                <w:sz w:val="18"/>
              </w:rPr>
            </w:r>
          </w:p>
        </w:tc>
        <w:tc>
          <w:tcPr>
            <w:tcW w:type="dxa" w:w="3061"/>
            <w:shd w:val="clear" w:color="auto" w:fill="F3EFE6"/>
          </w:tcPr>
          <w:p>
            <w:pPr>
              <w:spacing w:after="0" w:before="0"/>
            </w:pPr>
            <w:r/>
            <w:r>
              <w:rPr>
                <w:b w:val="0"/>
                <w:i w:val="0"/>
                <w:color w:val="1A1A1A"/>
                <w:sz w:val="18"/>
              </w:rPr>
            </w:r>
          </w:p>
        </w:tc>
      </w:tr>
      <w:tr>
        <w:trPr>
          <w:cantSplit w:val="true"/>
        </w:trPr>
        <w:tc>
          <w:tcPr>
            <w:tcW w:type="dxa" w:w="5216"/>
          </w:tcPr>
          <w:p>
            <w:pPr>
              <w:spacing w:after="0" w:before="0"/>
            </w:pPr>
            <w:r/>
            <w:r>
              <w:rPr>
                <w:b w:val="0"/>
                <w:i w:val="0"/>
                <w:color w:val="1A1A1A"/>
                <w:sz w:val="18"/>
              </w:rPr>
              <w:t>Prüft jemand anderes die Wirksamkeit als die Person, die die Massnahme umgesetzt hat?</w:t>
            </w:r>
          </w:p>
        </w:tc>
        <w:tc>
          <w:tcPr>
            <w:tcW w:type="dxa" w:w="680"/>
          </w:tcPr>
          <w:p>
            <w:pPr>
              <w:spacing w:after="0" w:before="0"/>
            </w:pPr>
            <w:r/>
            <w:r>
              <w:rPr>
                <w:b w:val="0"/>
                <w:i w:val="0"/>
                <w:color w:val="1A1A1A"/>
                <w:sz w:val="18"/>
              </w:rPr>
            </w:r>
          </w:p>
        </w:tc>
        <w:tc>
          <w:tcPr>
            <w:tcW w:type="dxa" w:w="680"/>
          </w:tcPr>
          <w:p>
            <w:pPr>
              <w:spacing w:after="0" w:before="0"/>
            </w:pPr>
            <w:r/>
            <w:r>
              <w:rPr>
                <w:b w:val="0"/>
                <w:i w:val="0"/>
                <w:color w:val="1A1A1A"/>
                <w:sz w:val="18"/>
              </w:rPr>
            </w:r>
          </w:p>
        </w:tc>
        <w:tc>
          <w:tcPr>
            <w:tcW w:type="dxa" w:w="3061"/>
          </w:tcPr>
          <w:p>
            <w:pPr>
              <w:spacing w:after="0" w:before="0"/>
            </w:pPr>
            <w:r/>
            <w:r>
              <w:rPr>
                <w:b w:val="0"/>
                <w:i w:val="0"/>
                <w:color w:val="1A1A1A"/>
                <w:sz w:val="18"/>
              </w:rPr>
            </w:r>
          </w:p>
        </w:tc>
      </w:tr>
      <w:tr>
        <w:trPr>
          <w:cantSplit w:val="true"/>
        </w:trPr>
        <w:tc>
          <w:tcPr>
            <w:tcW w:type="dxa" w:w="5216"/>
            <w:shd w:val="clear" w:color="auto" w:fill="F3EFE6"/>
          </w:tcPr>
          <w:p>
            <w:pPr>
              <w:spacing w:after="0" w:before="0"/>
            </w:pPr>
            <w:r/>
            <w:r>
              <w:rPr>
                <w:b w:val="0"/>
                <w:i w:val="0"/>
                <w:color w:val="1A1A1A"/>
                <w:sz w:val="18"/>
              </w:rPr>
              <w:t>Ist der Termin der Nachprüfung an eine Zahl echter Anlässe gebunden?</w:t>
            </w:r>
          </w:p>
        </w:tc>
        <w:tc>
          <w:tcPr>
            <w:tcW w:type="dxa" w:w="680"/>
            <w:shd w:val="clear" w:color="auto" w:fill="F3EFE6"/>
          </w:tcPr>
          <w:p>
            <w:pPr>
              <w:spacing w:after="0" w:before="0"/>
            </w:pPr>
            <w:r/>
            <w:r>
              <w:rPr>
                <w:b w:val="0"/>
                <w:i w:val="0"/>
                <w:color w:val="1A1A1A"/>
                <w:sz w:val="18"/>
              </w:rPr>
            </w:r>
          </w:p>
        </w:tc>
        <w:tc>
          <w:tcPr>
            <w:tcW w:type="dxa" w:w="680"/>
            <w:shd w:val="clear" w:color="auto" w:fill="F3EFE6"/>
          </w:tcPr>
          <w:p>
            <w:pPr>
              <w:spacing w:after="0" w:before="0"/>
            </w:pPr>
            <w:r/>
            <w:r>
              <w:rPr>
                <w:b w:val="0"/>
                <w:i w:val="0"/>
                <w:color w:val="1A1A1A"/>
                <w:sz w:val="18"/>
              </w:rPr>
            </w:r>
          </w:p>
        </w:tc>
        <w:tc>
          <w:tcPr>
            <w:tcW w:type="dxa" w:w="3061"/>
            <w:shd w:val="clear" w:color="auto" w:fill="F3EFE6"/>
          </w:tcPr>
          <w:p>
            <w:pPr>
              <w:spacing w:after="0" w:before="0"/>
            </w:pPr>
            <w:r/>
            <w:r>
              <w:rPr>
                <w:b w:val="0"/>
                <w:i w:val="0"/>
                <w:color w:val="1A1A1A"/>
                <w:sz w:val="18"/>
              </w:rPr>
            </w:r>
          </w:p>
        </w:tc>
      </w:tr>
      <w:tr>
        <w:trPr>
          <w:cantSplit w:val="true"/>
        </w:trPr>
        <w:tc>
          <w:tcPr>
            <w:tcW w:type="dxa" w:w="5216"/>
          </w:tcPr>
          <w:p>
            <w:pPr>
              <w:spacing w:after="0" w:before="0"/>
            </w:pPr>
            <w:r/>
            <w:r>
              <w:rPr>
                <w:b w:val="0"/>
                <w:i w:val="0"/>
                <w:color w:val="1A1A1A"/>
                <w:sz w:val="18"/>
              </w:rPr>
              <w:t>Wurde mindestens ein Anlass vor Ort beobachtet, auch spät oder am Wochenende?</w:t>
            </w:r>
          </w:p>
        </w:tc>
        <w:tc>
          <w:tcPr>
            <w:tcW w:type="dxa" w:w="680"/>
          </w:tcPr>
          <w:p>
            <w:pPr>
              <w:spacing w:after="0" w:before="0"/>
            </w:pPr>
            <w:r/>
            <w:r>
              <w:rPr>
                <w:b w:val="0"/>
                <w:i w:val="0"/>
                <w:color w:val="1A1A1A"/>
                <w:sz w:val="18"/>
              </w:rPr>
            </w:r>
          </w:p>
        </w:tc>
        <w:tc>
          <w:tcPr>
            <w:tcW w:type="dxa" w:w="680"/>
          </w:tcPr>
          <w:p>
            <w:pPr>
              <w:spacing w:after="0" w:before="0"/>
            </w:pPr>
            <w:r/>
            <w:r>
              <w:rPr>
                <w:b w:val="0"/>
                <w:i w:val="0"/>
                <w:color w:val="1A1A1A"/>
                <w:sz w:val="18"/>
              </w:rPr>
            </w:r>
          </w:p>
        </w:tc>
        <w:tc>
          <w:tcPr>
            <w:tcW w:type="dxa" w:w="3061"/>
          </w:tcPr>
          <w:p>
            <w:pPr>
              <w:spacing w:after="0" w:before="0"/>
            </w:pPr>
            <w:r/>
            <w:r>
              <w:rPr>
                <w:b w:val="0"/>
                <w:i w:val="0"/>
                <w:color w:val="1A1A1A"/>
                <w:sz w:val="18"/>
              </w:rPr>
            </w:r>
          </w:p>
        </w:tc>
      </w:tr>
      <w:tr>
        <w:trPr>
          <w:cantSplit w:val="true"/>
        </w:trPr>
        <w:tc>
          <w:tcPr>
            <w:tcW w:type="dxa" w:w="5216"/>
            <w:shd w:val="clear" w:color="auto" w:fill="F3EFE6"/>
          </w:tcPr>
          <w:p>
            <w:pPr>
              <w:spacing w:after="0" w:before="0"/>
            </w:pPr>
            <w:r/>
            <w:r>
              <w:rPr>
                <w:b w:val="0"/>
                <w:i w:val="0"/>
                <w:color w:val="1A1A1A"/>
                <w:sz w:val="18"/>
              </w:rPr>
              <w:t>Stammen die Daten der Nachprüfung aus der Zeit nach der Massnahme?</w:t>
            </w:r>
          </w:p>
        </w:tc>
        <w:tc>
          <w:tcPr>
            <w:tcW w:type="dxa" w:w="680"/>
            <w:shd w:val="clear" w:color="auto" w:fill="F3EFE6"/>
          </w:tcPr>
          <w:p>
            <w:pPr>
              <w:spacing w:after="0" w:before="0"/>
            </w:pPr>
            <w:r/>
            <w:r>
              <w:rPr>
                <w:b w:val="0"/>
                <w:i w:val="0"/>
                <w:color w:val="1A1A1A"/>
                <w:sz w:val="18"/>
              </w:rPr>
            </w:r>
          </w:p>
        </w:tc>
        <w:tc>
          <w:tcPr>
            <w:tcW w:type="dxa" w:w="680"/>
            <w:shd w:val="clear" w:color="auto" w:fill="F3EFE6"/>
          </w:tcPr>
          <w:p>
            <w:pPr>
              <w:spacing w:after="0" w:before="0"/>
            </w:pPr>
            <w:r/>
            <w:r>
              <w:rPr>
                <w:b w:val="0"/>
                <w:i w:val="0"/>
                <w:color w:val="1A1A1A"/>
                <w:sz w:val="18"/>
              </w:rPr>
            </w:r>
          </w:p>
        </w:tc>
        <w:tc>
          <w:tcPr>
            <w:tcW w:type="dxa" w:w="3061"/>
            <w:shd w:val="clear" w:color="auto" w:fill="F3EFE6"/>
          </w:tcPr>
          <w:p>
            <w:pPr>
              <w:spacing w:after="0" w:before="0"/>
            </w:pPr>
            <w:r/>
            <w:r>
              <w:rPr>
                <w:b w:val="0"/>
                <w:i w:val="0"/>
                <w:color w:val="1A1A1A"/>
                <w:sz w:val="18"/>
              </w:rPr>
            </w:r>
          </w:p>
        </w:tc>
      </w:tr>
      <w:tr>
        <w:trPr>
          <w:cantSplit w:val="true"/>
        </w:trPr>
        <w:tc>
          <w:tcPr>
            <w:tcW w:type="dxa" w:w="5216"/>
          </w:tcPr>
          <w:p>
            <w:pPr>
              <w:spacing w:after="0" w:before="0"/>
            </w:pPr>
            <w:r/>
            <w:r>
              <w:rPr>
                <w:b w:val="0"/>
                <w:i w:val="0"/>
                <w:color w:val="1A1A1A"/>
                <w:sz w:val="18"/>
              </w:rPr>
              <w:t>Werden Massnahmen, die voneinander abhängen, gemeinsam beurteilt?</w:t>
            </w:r>
          </w:p>
        </w:tc>
        <w:tc>
          <w:tcPr>
            <w:tcW w:type="dxa" w:w="680"/>
          </w:tcPr>
          <w:p>
            <w:pPr>
              <w:spacing w:after="0" w:before="0"/>
            </w:pPr>
            <w:r/>
            <w:r>
              <w:rPr>
                <w:b w:val="0"/>
                <w:i w:val="0"/>
                <w:color w:val="1A1A1A"/>
                <w:sz w:val="18"/>
              </w:rPr>
            </w:r>
          </w:p>
        </w:tc>
        <w:tc>
          <w:tcPr>
            <w:tcW w:type="dxa" w:w="680"/>
          </w:tcPr>
          <w:p>
            <w:pPr>
              <w:spacing w:after="0" w:before="0"/>
            </w:pPr>
            <w:r/>
            <w:r>
              <w:rPr>
                <w:b w:val="0"/>
                <w:i w:val="0"/>
                <w:color w:val="1A1A1A"/>
                <w:sz w:val="18"/>
              </w:rPr>
            </w:r>
          </w:p>
        </w:tc>
        <w:tc>
          <w:tcPr>
            <w:tcW w:type="dxa" w:w="3061"/>
          </w:tcPr>
          <w:p>
            <w:pPr>
              <w:spacing w:after="0" w:before="0"/>
            </w:pPr>
            <w:r/>
            <w:r>
              <w:rPr>
                <w:b w:val="0"/>
                <w:i w:val="0"/>
                <w:color w:val="1A1A1A"/>
                <w:sz w:val="18"/>
              </w:rPr>
            </w:r>
          </w:p>
        </w:tc>
      </w:tr>
      <w:tr>
        <w:trPr>
          <w:cantSplit w:val="true"/>
        </w:trPr>
        <w:tc>
          <w:tcPr>
            <w:tcW w:type="dxa" w:w="5216"/>
            <w:shd w:val="clear" w:color="auto" w:fill="F3EFE6"/>
          </w:tcPr>
          <w:p>
            <w:pPr>
              <w:spacing w:after="0" w:before="0"/>
            </w:pPr>
            <w:r/>
            <w:r>
              <w:rPr>
                <w:b w:val="0"/>
                <w:i w:val="0"/>
                <w:color w:val="1A1A1A"/>
                <w:sz w:val="18"/>
              </w:rPr>
              <w:t>Erfährt die Leitung, welche Massnahmen nicht oder noch nicht wirken?</w:t>
            </w:r>
          </w:p>
        </w:tc>
        <w:tc>
          <w:tcPr>
            <w:tcW w:type="dxa" w:w="680"/>
            <w:shd w:val="clear" w:color="auto" w:fill="F3EFE6"/>
          </w:tcPr>
          <w:p>
            <w:pPr>
              <w:spacing w:after="0" w:before="0"/>
            </w:pPr>
            <w:r/>
            <w:r>
              <w:rPr>
                <w:b w:val="0"/>
                <w:i w:val="0"/>
                <w:color w:val="1A1A1A"/>
                <w:sz w:val="18"/>
              </w:rPr>
            </w:r>
          </w:p>
        </w:tc>
        <w:tc>
          <w:tcPr>
            <w:tcW w:type="dxa" w:w="680"/>
            <w:shd w:val="clear" w:color="auto" w:fill="F3EFE6"/>
          </w:tcPr>
          <w:p>
            <w:pPr>
              <w:spacing w:after="0" w:before="0"/>
            </w:pPr>
            <w:r/>
            <w:r>
              <w:rPr>
                <w:b w:val="0"/>
                <w:i w:val="0"/>
                <w:color w:val="1A1A1A"/>
                <w:sz w:val="18"/>
              </w:rPr>
            </w:r>
          </w:p>
        </w:tc>
        <w:tc>
          <w:tcPr>
            <w:tcW w:type="dxa" w:w="3061"/>
            <w:shd w:val="clear" w:color="auto" w:fill="F3EFE6"/>
          </w:tcPr>
          <w:p>
            <w:pPr>
              <w:spacing w:after="0" w:before="0"/>
            </w:pPr>
            <w:r/>
            <w:r>
              <w:rPr>
                <w:b w:val="0"/>
                <w:i w:val="0"/>
                <w:color w:val="1A1A1A"/>
                <w:sz w:val="18"/>
              </w:rPr>
            </w:r>
          </w:p>
        </w:tc>
      </w:tr>
    </w:tbl>
    <w:p>
      <w:pPr>
        <w:spacing w:after="40"/>
      </w:pPr>
    </w:p>
    <w:p>
      <w:pPr>
        <w:pStyle w:val="Heading2"/>
      </w:pPr>
      <w:r>
        <w:t>Häufige Fehler</w:t>
      </w:r>
    </w:p>
    <w:p>
      <w:pPr>
        <w:tabs>
          <w:tab w:pos="340" w:val="left"/>
        </w:tabs>
        <w:ind w:left="340" w:hanging="340"/>
      </w:pPr>
      <w:r>
        <w:rPr>
          <w:color w:val="8C5A2B"/>
        </w:rPr>
        <w:t>–</w:t>
        <w:tab/>
      </w:r>
      <w:r>
        <w:rPr>
          <w:b/>
        </w:rPr>
        <w:t>«Erledigt» am Tag der Handlung setzen.</w:t>
      </w:r>
      <w:r>
        <w:t xml:space="preserve"> Die Liste zeigt dann die Arbeit der verantwortlichen Person, nicht die Wirkung.</w:t>
      </w:r>
    </w:p>
    <w:p>
      <w:pPr>
        <w:tabs>
          <w:tab w:pos="340" w:val="left"/>
        </w:tabs>
        <w:ind w:left="340" w:hanging="340"/>
      </w:pPr>
      <w:r>
        <w:rPr>
          <w:color w:val="8C5A2B"/>
        </w:rPr>
        <w:t>–</w:t>
        <w:tab/>
      </w:r>
      <w:r>
        <w:rPr>
          <w:b/>
        </w:rPr>
        <w:t>Kein Zeichen der Wirksamkeit festlegen.</w:t>
      </w:r>
      <w:r>
        <w:t xml:space="preserve"> Bei der Nachprüfung weiss niemand, wonach er suchen soll, und das Vorgefundene wird passend gemacht.</w:t>
      </w:r>
    </w:p>
    <w:p>
      <w:pPr>
        <w:tabs>
          <w:tab w:pos="340" w:val="left"/>
        </w:tabs>
        <w:ind w:left="340" w:hanging="340"/>
      </w:pPr>
      <w:r>
        <w:rPr>
          <w:color w:val="8C5A2B"/>
        </w:rPr>
        <w:t>–</w:t>
        <w:tab/>
      </w:r>
      <w:r>
        <w:rPr>
          <w:b/>
        </w:rPr>
        <w:t>Die gelebte Regel nicht mit der beschlossenen vergleichen.</w:t>
      </w:r>
      <w:r>
        <w:t xml:space="preserve"> Aus «je Anlass» wird «am Montag», und niemand merkt es.</w:t>
      </w:r>
    </w:p>
    <w:p>
      <w:pPr>
        <w:tabs>
          <w:tab w:pos="340" w:val="left"/>
        </w:tabs>
        <w:ind w:left="340" w:hanging="340"/>
      </w:pPr>
      <w:r>
        <w:rPr>
          <w:color w:val="8C5A2B"/>
        </w:rPr>
        <w:t>–</w:t>
        <w:tab/>
      </w:r>
      <w:r>
        <w:rPr>
          <w:b/>
        </w:rPr>
        <w:t>Im Büro nachprüfen.</w:t>
      </w:r>
      <w:r>
        <w:t xml:space="preserve"> Eine sauber geführte Liste kann genau das enthalten, was nicht gemeint war.</w:t>
      </w:r>
    </w:p>
    <w:p>
      <w:pPr>
        <w:tabs>
          <w:tab w:pos="340" w:val="left"/>
        </w:tabs>
        <w:ind w:left="340" w:hanging="340"/>
      </w:pPr>
      <w:r>
        <w:rPr>
          <w:color w:val="8C5A2B"/>
        </w:rPr>
        <w:t>–</w:t>
        <w:tab/>
      </w:r>
      <w:r>
        <w:rPr>
          <w:b/>
        </w:rPr>
        <w:t>Nach dem Kalender prüfen.</w:t>
      </w:r>
      <w:r>
        <w:t xml:space="preserve"> Drei Sommermonate ohne Bankett sagen über eine Bankettregel nichts.</w:t>
      </w:r>
    </w:p>
    <w:p>
      <w:pPr>
        <w:tabs>
          <w:tab w:pos="340" w:val="left"/>
        </w:tabs>
        <w:ind w:left="340" w:hanging="340"/>
      </w:pPr>
      <w:r>
        <w:rPr>
          <w:color w:val="8C5A2B"/>
        </w:rPr>
        <w:t>–</w:t>
        <w:tab/>
      </w:r>
      <w:r>
        <w:rPr>
          <w:b/>
        </w:rPr>
        <w:t>Auf eine unwirksame Massnahme eine neue setzen.</w:t>
      </w:r>
      <w:r>
        <w:t xml:space="preserve"> Die Ursache bleibt, und die Liste wird länger.</w:t>
      </w:r>
    </w:p>
    <w:p>
      <w:pPr>
        <w:pStyle w:val="Heading2"/>
      </w:pPr>
      <w:r>
        <w:t>Modellrechnung</w:t>
      </w:r>
    </w:p>
    <w:p>
      <w:r>
        <w:rPr>
          <w:b w:val="0"/>
          <w:i/>
          <w:color w:val="5A5A5A"/>
          <w:sz w:val="18"/>
        </w:rPr>
        <w:t>Modellannahme, kein belegter Branchenwert</w:t>
      </w:r>
    </w:p>
    <w:tbl>
      <w:tblPr>
        <w:tblW w:type="auto" w:w="0"/>
        <w:jc w:val="center"/>
        <w:tblLook w:firstColumn="1" w:firstRow="1" w:lastColumn="0" w:lastRow="0" w:noHBand="0" w:noVBand="1" w:val="04A0"/>
        <w:tblBorders>
          <w:top w:val="single" w:sz="4" w:color="D9CBB5"/>
          <w:left w:val="single" w:sz="4" w:color="D9CBB5"/>
          <w:bottom w:val="single" w:sz="4" w:color="D9CBB5"/>
          <w:right w:val="single" w:sz="4" w:color="D9CBB5"/>
          <w:insideH w:val="single" w:sz="4" w:color="D9CBB5"/>
          <w:insideV w:val="single" w:sz="4" w:color="D9CBB5"/>
        </w:tblBorders>
        <w:tblLayout w:type="fixed"/>
        <w:tblCellMar>
          <w:top w:w="60" w:type="dxa"/>
          <w:left w:w="90" w:type="dxa"/>
          <w:bottom w:w="60" w:type="dxa"/>
          <w:right w:w="90" w:type="dxa"/>
        </w:tblCellMar>
      </w:tblPr>
      <w:tblGrid>
        <w:gridCol w:w="3175"/>
        <w:gridCol w:w="1474"/>
        <w:gridCol w:w="3175"/>
        <w:gridCol w:w="1814"/>
      </w:tblGrid>
      <w:tr>
        <w:trPr>
          <w:cantSplit w:val="true"/>
          <w:tblHeader w:val="true"/>
        </w:trPr>
        <w:tc>
          <w:tcPr>
            <w:tcW w:type="dxa" w:w="3175"/>
            <w:shd w:val="clear" w:color="auto" w:fill="8C5A2B"/>
          </w:tcPr>
          <w:p>
            <w:pPr>
              <w:spacing w:after="0" w:before="0"/>
            </w:pPr>
            <w:r/>
            <w:r>
              <w:rPr>
                <w:b/>
                <w:i w:val="0"/>
                <w:color w:val="FFFFFF"/>
                <w:sz w:val="18"/>
              </w:rPr>
              <w:t>Posten</w:t>
            </w:r>
          </w:p>
        </w:tc>
        <w:tc>
          <w:tcPr>
            <w:tcW w:type="dxa" w:w="1474"/>
            <w:shd w:val="clear" w:color="auto" w:fill="8C5A2B"/>
          </w:tcPr>
          <w:p>
            <w:pPr>
              <w:spacing w:after="0" w:before="0"/>
            </w:pPr>
            <w:r/>
            <w:r>
              <w:rPr>
                <w:b/>
                <w:i w:val="0"/>
                <w:color w:val="FFFFFF"/>
                <w:sz w:val="18"/>
              </w:rPr>
              <w:t>Betrag</w:t>
            </w:r>
          </w:p>
        </w:tc>
        <w:tc>
          <w:tcPr>
            <w:tcW w:type="dxa" w:w="3175"/>
            <w:shd w:val="clear" w:color="auto" w:fill="8C5A2B"/>
          </w:tcPr>
          <w:p>
            <w:pPr>
              <w:spacing w:after="0" w:before="0"/>
            </w:pPr>
            <w:r/>
            <w:r>
              <w:rPr>
                <w:b/>
                <w:i w:val="0"/>
                <w:color w:val="FFFFFF"/>
                <w:sz w:val="18"/>
              </w:rPr>
              <w:t>Anmerkung</w:t>
            </w:r>
          </w:p>
        </w:tc>
        <w:tc>
          <w:tcPr>
            <w:tcW w:type="dxa" w:w="1814"/>
            <w:shd w:val="clear" w:color="auto" w:fill="8C5A2B"/>
          </w:tcPr>
          <w:p>
            <w:pPr>
              <w:spacing w:after="0" w:before="0"/>
            </w:pPr>
            <w:r/>
            <w:r>
              <w:rPr>
                <w:b/>
                <w:i w:val="0"/>
                <w:color w:val="FFFFFF"/>
                <w:sz w:val="18"/>
              </w:rPr>
              <w:t>Eigener Wert</w:t>
            </w:r>
          </w:p>
        </w:tc>
      </w:tr>
      <w:tr>
        <w:trPr>
          <w:cantSplit w:val="true"/>
        </w:trPr>
        <w:tc>
          <w:tcPr>
            <w:tcW w:type="dxa" w:w="3175"/>
          </w:tcPr>
          <w:p>
            <w:pPr>
              <w:spacing w:after="0" w:before="0"/>
            </w:pPr>
            <w:r/>
            <w:r>
              <w:rPr>
                <w:b w:val="0"/>
                <w:i w:val="0"/>
                <w:color w:val="1A1A1A"/>
                <w:sz w:val="18"/>
              </w:rPr>
              <w:t>Nachprüfung vor Ort: ein Anlass, 21.30 bis 24 Uhr</w:t>
            </w:r>
          </w:p>
        </w:tc>
        <w:tc>
          <w:tcPr>
            <w:tcW w:type="dxa" w:w="1474"/>
          </w:tcPr>
          <w:p>
            <w:pPr>
              <w:spacing w:after="0" w:before="0"/>
            </w:pPr>
            <w:r/>
            <w:r>
              <w:rPr>
                <w:b w:val="0"/>
                <w:i w:val="0"/>
                <w:color w:val="1A1A1A"/>
                <w:sz w:val="18"/>
              </w:rPr>
              <w:t>2,5 Stunden</w:t>
            </w:r>
          </w:p>
        </w:tc>
        <w:tc>
          <w:tcPr>
            <w:tcW w:type="dxa" w:w="3175"/>
          </w:tcPr>
          <w:p>
            <w:pPr>
              <w:spacing w:after="0" w:before="0"/>
            </w:pPr>
            <w:r/>
            <w:r>
              <w:rPr>
                <w:b w:val="0"/>
                <w:i w:val="0"/>
                <w:color w:val="1A1A1A"/>
                <w:sz w:val="18"/>
              </w:rPr>
              <w:t>interner Auditor</w:t>
            </w:r>
          </w:p>
        </w:tc>
        <w:tc>
          <w:tcPr>
            <w:tcW w:type="dxa" w:w="1814"/>
          </w:tcPr>
          <w:p>
            <w:pPr>
              <w:spacing w:after="0" w:before="0"/>
            </w:pPr>
            <w:r/>
            <w:r>
              <w:rPr>
                <w:b w:val="0"/>
                <w:i w:val="0"/>
                <w:color w:val="1A1A1A"/>
                <w:sz w:val="18"/>
              </w:rPr>
            </w:r>
          </w:p>
        </w:tc>
      </w:tr>
      <w:tr>
        <w:trPr>
          <w:cantSplit w:val="true"/>
        </w:trPr>
        <w:tc>
          <w:tcPr>
            <w:tcW w:type="dxa" w:w="3175"/>
            <w:shd w:val="clear" w:color="auto" w:fill="F3EFE6"/>
          </w:tcPr>
          <w:p>
            <w:pPr>
              <w:spacing w:after="0" w:before="0"/>
            </w:pPr>
            <w:r/>
            <w:r>
              <w:rPr>
                <w:b w:val="0"/>
                <w:i w:val="0"/>
                <w:color w:val="1A1A1A"/>
                <w:sz w:val="18"/>
              </w:rPr>
              <w:t>Daten und Formulare: 33 Bankettformulare, Einkauf, Wiegeliste, Karten</w:t>
            </w:r>
          </w:p>
        </w:tc>
        <w:tc>
          <w:tcPr>
            <w:tcW w:type="dxa" w:w="1474"/>
            <w:shd w:val="clear" w:color="auto" w:fill="F3EFE6"/>
          </w:tcPr>
          <w:p>
            <w:pPr>
              <w:spacing w:after="0" w:before="0"/>
            </w:pPr>
            <w:r/>
            <w:r>
              <w:rPr>
                <w:b w:val="0"/>
                <w:i w:val="0"/>
                <w:color w:val="1A1A1A"/>
                <w:sz w:val="18"/>
              </w:rPr>
              <w:t>4 Stunden</w:t>
            </w:r>
          </w:p>
        </w:tc>
        <w:tc>
          <w:tcPr>
            <w:tcW w:type="dxa" w:w="3175"/>
            <w:shd w:val="clear" w:color="auto" w:fill="F3EFE6"/>
          </w:tcPr>
          <w:p>
            <w:pPr>
              <w:spacing w:after="0" w:before="0"/>
            </w:pPr>
            <w:r/>
            <w:r>
              <w:rPr>
                <w:b w:val="0"/>
                <w:i w:val="0"/>
                <w:color w:val="1A1A1A"/>
                <w:sz w:val="18"/>
              </w:rPr>
              <w:t>interner Auditor</w:t>
            </w:r>
          </w:p>
        </w:tc>
        <w:tc>
          <w:tcPr>
            <w:tcW w:type="dxa" w:w="1814"/>
            <w:shd w:val="clear" w:color="auto" w:fill="F3EFE6"/>
          </w:tcPr>
          <w:p>
            <w:pPr>
              <w:spacing w:after="0" w:before="0"/>
            </w:pPr>
            <w:r/>
            <w:r>
              <w:rPr>
                <w:b w:val="0"/>
                <w:i w:val="0"/>
                <w:color w:val="1A1A1A"/>
                <w:sz w:val="18"/>
              </w:rPr>
            </w:r>
          </w:p>
        </w:tc>
      </w:tr>
      <w:tr>
        <w:trPr>
          <w:cantSplit w:val="true"/>
        </w:trPr>
        <w:tc>
          <w:tcPr>
            <w:tcW w:type="dxa" w:w="3175"/>
          </w:tcPr>
          <w:p>
            <w:pPr>
              <w:spacing w:after="0" w:before="0"/>
            </w:pPr>
            <w:r/>
            <w:r>
              <w:rPr>
                <w:b w:val="0"/>
                <w:i w:val="0"/>
                <w:color w:val="1A1A1A"/>
                <w:sz w:val="18"/>
              </w:rPr>
              <w:t>Interner Auditor: 6,5 Stunden zu CHF 95</w:t>
            </w:r>
          </w:p>
        </w:tc>
        <w:tc>
          <w:tcPr>
            <w:tcW w:type="dxa" w:w="1474"/>
          </w:tcPr>
          <w:p>
            <w:pPr>
              <w:spacing w:after="0" w:before="0"/>
            </w:pPr>
            <w:r/>
            <w:r>
              <w:rPr>
                <w:b w:val="0"/>
                <w:i w:val="0"/>
                <w:color w:val="1A1A1A"/>
                <w:sz w:val="18"/>
              </w:rPr>
              <w:t>CHF 618</w:t>
            </w:r>
          </w:p>
        </w:tc>
        <w:tc>
          <w:tcPr>
            <w:tcW w:type="dxa" w:w="3175"/>
          </w:tcPr>
          <w:p>
            <w:pPr>
              <w:spacing w:after="0" w:before="0"/>
            </w:pPr>
            <w:r/>
            <w:r>
              <w:rPr>
                <w:b w:val="0"/>
                <w:i w:val="0"/>
                <w:color w:val="1A1A1A"/>
                <w:sz w:val="18"/>
              </w:rPr>
              <w:t>interne Kosten, einmal je Nachprüfung</w:t>
            </w:r>
          </w:p>
        </w:tc>
        <w:tc>
          <w:tcPr>
            <w:tcW w:type="dxa" w:w="1814"/>
          </w:tcPr>
          <w:p>
            <w:pPr>
              <w:spacing w:after="0" w:before="0"/>
            </w:pPr>
            <w:r/>
            <w:r>
              <w:rPr>
                <w:b w:val="0"/>
                <w:i w:val="0"/>
                <w:color w:val="1A1A1A"/>
                <w:sz w:val="18"/>
              </w:rPr>
            </w:r>
          </w:p>
        </w:tc>
      </w:tr>
      <w:tr>
        <w:trPr>
          <w:cantSplit w:val="true"/>
        </w:trPr>
        <w:tc>
          <w:tcPr>
            <w:tcW w:type="dxa" w:w="3175"/>
            <w:shd w:val="clear" w:color="auto" w:fill="F3EFE6"/>
          </w:tcPr>
          <w:p>
            <w:pPr>
              <w:spacing w:after="0" w:before="0"/>
            </w:pPr>
            <w:r/>
            <w:r>
              <w:rPr>
                <w:b w:val="0"/>
                <w:i w:val="0"/>
                <w:color w:val="1A1A1A"/>
                <w:sz w:val="18"/>
              </w:rPr>
              <w:t>Bodenwaage für die Spülküche</w:t>
            </w:r>
          </w:p>
        </w:tc>
        <w:tc>
          <w:tcPr>
            <w:tcW w:type="dxa" w:w="1474"/>
            <w:shd w:val="clear" w:color="auto" w:fill="F3EFE6"/>
          </w:tcPr>
          <w:p>
            <w:pPr>
              <w:spacing w:after="0" w:before="0"/>
            </w:pPr>
            <w:r/>
            <w:r>
              <w:rPr>
                <w:b w:val="0"/>
                <w:i w:val="0"/>
                <w:color w:val="1A1A1A"/>
                <w:sz w:val="18"/>
              </w:rPr>
              <w:t>CHF 1.380</w:t>
            </w:r>
          </w:p>
        </w:tc>
        <w:tc>
          <w:tcPr>
            <w:tcW w:type="dxa" w:w="3175"/>
            <w:shd w:val="clear" w:color="auto" w:fill="F3EFE6"/>
          </w:tcPr>
          <w:p>
            <w:pPr>
              <w:spacing w:after="0" w:before="0"/>
            </w:pPr>
            <w:r/>
            <w:r>
              <w:rPr>
                <w:b w:val="0"/>
                <w:i w:val="0"/>
                <w:color w:val="1A1A1A"/>
                <w:sz w:val="18"/>
              </w:rPr>
              <w:t>im Juni angeschafft</w:t>
            </w:r>
          </w:p>
        </w:tc>
        <w:tc>
          <w:tcPr>
            <w:tcW w:type="dxa" w:w="1814"/>
            <w:shd w:val="clear" w:color="auto" w:fill="F3EFE6"/>
          </w:tcPr>
          <w:p>
            <w:pPr>
              <w:spacing w:after="0" w:before="0"/>
            </w:pPr>
            <w:r/>
            <w:r>
              <w:rPr>
                <w:b w:val="0"/>
                <w:i w:val="0"/>
                <w:color w:val="1A1A1A"/>
                <w:sz w:val="18"/>
              </w:rPr>
            </w:r>
          </w:p>
        </w:tc>
      </w:tr>
      <w:tr>
        <w:trPr>
          <w:cantSplit w:val="true"/>
        </w:trPr>
        <w:tc>
          <w:tcPr>
            <w:tcW w:type="dxa" w:w="3175"/>
          </w:tcPr>
          <w:p>
            <w:pPr>
              <w:spacing w:after="0" w:before="0"/>
            </w:pPr>
            <w:r/>
            <w:r>
              <w:rPr>
                <w:b w:val="0"/>
                <w:i w:val="0"/>
                <w:color w:val="1A1A1A"/>
                <w:sz w:val="18"/>
              </w:rPr>
              <w:t>Wiegen je Anlass: 33 Anlässe zu 5 Minuten</w:t>
            </w:r>
          </w:p>
        </w:tc>
        <w:tc>
          <w:tcPr>
            <w:tcW w:type="dxa" w:w="1474"/>
          </w:tcPr>
          <w:p>
            <w:pPr>
              <w:spacing w:after="0" w:before="0"/>
            </w:pPr>
            <w:r/>
            <w:r>
              <w:rPr>
                <w:b w:val="0"/>
                <w:i w:val="0"/>
                <w:color w:val="1A1A1A"/>
                <w:sz w:val="18"/>
              </w:rPr>
              <w:t>2 Stunden 45 Minuten</w:t>
            </w:r>
          </w:p>
        </w:tc>
        <w:tc>
          <w:tcPr>
            <w:tcW w:type="dxa" w:w="3175"/>
          </w:tcPr>
          <w:p>
            <w:pPr>
              <w:spacing w:after="0" w:before="0"/>
            </w:pPr>
            <w:r/>
            <w:r>
              <w:rPr>
                <w:b w:val="0"/>
                <w:i w:val="0"/>
                <w:color w:val="1A1A1A"/>
                <w:sz w:val="18"/>
              </w:rPr>
              <w:t>Spülküche, für die Zeit von Juni bis September</w:t>
            </w:r>
          </w:p>
        </w:tc>
        <w:tc>
          <w:tcPr>
            <w:tcW w:type="dxa" w:w="1814"/>
          </w:tcPr>
          <w:p>
            <w:pPr>
              <w:spacing w:after="0" w:before="0"/>
            </w:pPr>
            <w:r/>
            <w:r>
              <w:rPr>
                <w:b w:val="0"/>
                <w:i w:val="0"/>
                <w:color w:val="1A1A1A"/>
                <w:sz w:val="18"/>
              </w:rPr>
            </w:r>
          </w:p>
        </w:tc>
      </w:tr>
      <w:tr>
        <w:trPr>
          <w:cantSplit w:val="true"/>
        </w:trPr>
        <w:tc>
          <w:tcPr>
            <w:tcW w:type="dxa" w:w="3175"/>
            <w:shd w:val="clear" w:color="auto" w:fill="F3EFE6"/>
          </w:tcPr>
          <w:p>
            <w:pPr>
              <w:spacing w:after="0" w:before="0"/>
            </w:pPr>
            <w:r/>
            <w:r>
              <w:rPr>
                <w:b w:val="0"/>
                <w:i w:val="0"/>
                <w:color w:val="1A1A1A"/>
                <w:sz w:val="18"/>
              </w:rPr>
              <w:t>Speisereste grosser Anlässe ohne Zahl: 33 × 25 kg × CHF 9 Wareneinsatz</w:t>
            </w:r>
          </w:p>
        </w:tc>
        <w:tc>
          <w:tcPr>
            <w:tcW w:type="dxa" w:w="1474"/>
            <w:shd w:val="clear" w:color="auto" w:fill="F3EFE6"/>
          </w:tcPr>
          <w:p>
            <w:pPr>
              <w:spacing w:after="0" w:before="0"/>
            </w:pPr>
            <w:r/>
            <w:r>
              <w:rPr>
                <w:b w:val="0"/>
                <w:i w:val="0"/>
                <w:color w:val="1A1A1A"/>
                <w:sz w:val="18"/>
              </w:rPr>
              <w:t>CHF 7.425</w:t>
            </w:r>
          </w:p>
        </w:tc>
        <w:tc>
          <w:tcPr>
            <w:tcW w:type="dxa" w:w="3175"/>
            <w:shd w:val="clear" w:color="auto" w:fill="F3EFE6"/>
          </w:tcPr>
          <w:p>
            <w:pPr>
              <w:spacing w:after="0" w:before="0"/>
            </w:pPr>
            <w:r/>
            <w:r>
              <w:rPr>
                <w:b w:val="0"/>
                <w:i w:val="0"/>
                <w:color w:val="1A1A1A"/>
                <w:sz w:val="18"/>
              </w:rPr>
              <w:t>Grössenordnung dessen, was die Waage sichtbar machen sollte</w:t>
            </w:r>
          </w:p>
        </w:tc>
        <w:tc>
          <w:tcPr>
            <w:tcW w:type="dxa" w:w="1814"/>
            <w:shd w:val="clear" w:color="auto" w:fill="F3EFE6"/>
          </w:tcPr>
          <w:p>
            <w:pPr>
              <w:spacing w:after="0" w:before="0"/>
            </w:pPr>
            <w:r/>
            <w:r>
              <w:rPr>
                <w:b w:val="0"/>
                <w:i w:val="0"/>
                <w:color w:val="1A1A1A"/>
                <w:sz w:val="18"/>
              </w:rPr>
            </w:r>
          </w:p>
        </w:tc>
      </w:tr>
    </w:tbl>
    <w:p>
      <w:pPr>
        <w:spacing w:after="40"/>
      </w:pPr>
    </w:p>
    <w:p>
      <w:r>
        <w:rPr>
          <w:b w:val="0"/>
          <w:i w:val="0"/>
        </w:rPr>
        <w:t>Die letzte Zeile ist keine Ersparnis. Sie zeigt, wie gross der Wareneinsatz ist, über den das Haus seit Juni nichts wusste, unter der Annahme von fünfundzwanzig Kilo je grossem Anlass; wie viel davon vermeidbar wäre, sagt sie nicht. Umsatz ist nicht Gewinn, und ein Kilo weniger auf der Waage ist nicht ein Kilo weniger eingekauft. Die Stunden der Spülküche sind nicht in Franken umgerechnet.</w:t>
      </w:r>
    </w:p>
    <w:p>
      <w:pPr>
        <w:pStyle w:val="Heading2"/>
      </w:pPr>
      <w:r>
        <w:t>Was verlangt ist, und was nur Anleitung ist</w:t>
      </w:r>
    </w:p>
    <w:tbl>
      <w:tblPr>
        <w:tblW w:type="auto" w:w="0"/>
        <w:jc w:val="center"/>
        <w:tblLook w:firstColumn="1" w:firstRow="1" w:lastColumn="0" w:lastRow="0" w:noHBand="0" w:noVBand="1" w:val="04A0"/>
        <w:tblBorders>
          <w:top w:val="single" w:sz="4" w:color="D9CBB5"/>
          <w:left w:val="single" w:sz="4" w:color="D9CBB5"/>
          <w:bottom w:val="single" w:sz="4" w:color="D9CBB5"/>
          <w:right w:val="single" w:sz="4" w:color="D9CBB5"/>
          <w:insideH w:val="single" w:sz="4" w:color="D9CBB5"/>
          <w:insideV w:val="single" w:sz="4" w:color="D9CBB5"/>
        </w:tblBorders>
        <w:tblLayout w:type="fixed"/>
        <w:tblCellMar>
          <w:top w:w="60" w:type="dxa"/>
          <w:left w:w="90" w:type="dxa"/>
          <w:bottom w:w="60" w:type="dxa"/>
          <w:right w:w="90" w:type="dxa"/>
        </w:tblCellMar>
      </w:tblPr>
      <w:tblGrid>
        <w:gridCol w:w="3288"/>
        <w:gridCol w:w="3175"/>
        <w:gridCol w:w="3175"/>
      </w:tblGrid>
      <w:tr>
        <w:trPr>
          <w:cantSplit w:val="true"/>
          <w:tblHeader w:val="true"/>
        </w:trPr>
        <w:tc>
          <w:tcPr>
            <w:tcW w:type="dxa" w:w="3288"/>
            <w:shd w:val="clear" w:color="auto" w:fill="8C5A2B"/>
          </w:tcPr>
          <w:p>
            <w:pPr>
              <w:spacing w:after="0" w:before="0"/>
            </w:pPr>
            <w:r/>
            <w:r>
              <w:rPr>
                <w:b/>
                <w:i w:val="0"/>
                <w:color w:val="FFFFFF"/>
                <w:sz w:val="18"/>
              </w:rPr>
              <w:t>Verlangt</w:t>
            </w:r>
          </w:p>
        </w:tc>
        <w:tc>
          <w:tcPr>
            <w:tcW w:type="dxa" w:w="3175"/>
            <w:shd w:val="clear" w:color="auto" w:fill="8C5A2B"/>
          </w:tcPr>
          <w:p>
            <w:pPr>
              <w:spacing w:after="0" w:before="0"/>
            </w:pPr>
            <w:r/>
            <w:r>
              <w:rPr>
                <w:b/>
                <w:i w:val="0"/>
                <w:color w:val="FFFFFF"/>
                <w:sz w:val="18"/>
              </w:rPr>
              <w:t>Was es im Hotel belegt</w:t>
            </w:r>
          </w:p>
        </w:tc>
        <w:tc>
          <w:tcPr>
            <w:tcW w:type="dxa" w:w="3175"/>
            <w:shd w:val="clear" w:color="auto" w:fill="8C5A2B"/>
          </w:tcPr>
          <w:p>
            <w:pPr>
              <w:spacing w:after="0" w:before="0"/>
            </w:pPr>
            <w:r/>
            <w:r>
              <w:rPr>
                <w:b/>
                <w:i w:val="0"/>
                <w:color w:val="FFFFFF"/>
                <w:sz w:val="18"/>
              </w:rPr>
              <w:t>Nur Leitfaden oder Methode</w:t>
            </w:r>
          </w:p>
        </w:tc>
      </w:tr>
      <w:tr>
        <w:trPr>
          <w:cantSplit w:val="true"/>
        </w:trPr>
        <w:tc>
          <w:tcPr>
            <w:tcW w:type="dxa" w:w="3288"/>
          </w:tcPr>
          <w:p>
            <w:pPr>
              <w:spacing w:after="0" w:before="0"/>
            </w:pPr>
            <w:r/>
            <w:r>
              <w:rPr>
                <w:b w:val="0"/>
                <w:i w:val="0"/>
                <w:color w:val="1A1A1A"/>
                <w:sz w:val="18"/>
              </w:rPr>
              <w:t>Massnahmen umsetzen (10.2 c)</w:t>
            </w:r>
          </w:p>
        </w:tc>
        <w:tc>
          <w:tcPr>
            <w:tcW w:type="dxa" w:w="3175"/>
          </w:tcPr>
          <w:p>
            <w:pPr>
              <w:spacing w:after="0" w:before="0"/>
            </w:pPr>
            <w:r/>
            <w:r>
              <w:rPr>
                <w:b w:val="0"/>
                <w:i w:val="0"/>
                <w:color w:val="1A1A1A"/>
                <w:sz w:val="18"/>
              </w:rPr>
              <w:t>Massnahmenliste mit Handlung, Person, Termin</w:t>
            </w:r>
          </w:p>
        </w:tc>
        <w:tc>
          <w:tcPr>
            <w:tcW w:type="dxa" w:w="3175"/>
          </w:tcPr>
          <w:p>
            <w:pPr>
              <w:spacing w:after="0" w:before="0"/>
            </w:pPr>
            <w:r/>
            <w:r>
              <w:rPr>
                <w:b w:val="0"/>
                <w:i w:val="0"/>
                <w:color w:val="1A1A1A"/>
                <w:sz w:val="18"/>
              </w:rPr>
              <w:t>Methode: Spalte «umgesetzt» getrennt von «wirksam»</w:t>
            </w:r>
          </w:p>
        </w:tc>
      </w:tr>
      <w:tr>
        <w:trPr>
          <w:cantSplit w:val="true"/>
        </w:trPr>
        <w:tc>
          <w:tcPr>
            <w:tcW w:type="dxa" w:w="3288"/>
            <w:shd w:val="clear" w:color="auto" w:fill="F3EFE6"/>
          </w:tcPr>
          <w:p>
            <w:pPr>
              <w:spacing w:after="0" w:before="0"/>
            </w:pPr>
            <w:r/>
            <w:r>
              <w:rPr>
                <w:b w:val="0"/>
                <w:i w:val="0"/>
                <w:color w:val="1A1A1A"/>
                <w:sz w:val="18"/>
              </w:rPr>
              <w:t>Wirksamkeit prüfen (10.2 d)</w:t>
            </w:r>
          </w:p>
        </w:tc>
        <w:tc>
          <w:tcPr>
            <w:tcW w:type="dxa" w:w="3175"/>
            <w:shd w:val="clear" w:color="auto" w:fill="F3EFE6"/>
          </w:tcPr>
          <w:p>
            <w:pPr>
              <w:spacing w:after="0" w:before="0"/>
            </w:pPr>
            <w:r/>
            <w:r>
              <w:rPr>
                <w:b w:val="0"/>
                <w:i w:val="0"/>
                <w:color w:val="1A1A1A"/>
                <w:sz w:val="18"/>
              </w:rPr>
              <w:t>Nachprüfungsnotiz mit Anlass, Datum, Daten und Beobachtung</w:t>
            </w:r>
          </w:p>
        </w:tc>
        <w:tc>
          <w:tcPr>
            <w:tcW w:type="dxa" w:w="3175"/>
            <w:shd w:val="clear" w:color="auto" w:fill="F3EFE6"/>
          </w:tcPr>
          <w:p>
            <w:pPr>
              <w:spacing w:after="0" w:before="0"/>
            </w:pPr>
            <w:r/>
            <w:r>
              <w:rPr>
                <w:b w:val="0"/>
                <w:i w:val="0"/>
                <w:color w:val="1A1A1A"/>
                <w:sz w:val="18"/>
              </w:rPr>
              <w:t>Methode: Zeichen der Wirksamkeit bei der Festlegung; Termin nach Anlässen</w:t>
            </w:r>
          </w:p>
        </w:tc>
      </w:tr>
      <w:tr>
        <w:trPr>
          <w:cantSplit w:val="true"/>
        </w:trPr>
        <w:tc>
          <w:tcPr>
            <w:tcW w:type="dxa" w:w="3288"/>
          </w:tcPr>
          <w:p>
            <w:pPr>
              <w:spacing w:after="0" w:before="0"/>
            </w:pPr>
            <w:r/>
            <w:r>
              <w:rPr>
                <w:b w:val="0"/>
                <w:i w:val="0"/>
                <w:color w:val="1A1A1A"/>
                <w:sz w:val="18"/>
              </w:rPr>
              <w:t>System ändern, wenn nötig (10.2 e)</w:t>
            </w:r>
          </w:p>
        </w:tc>
        <w:tc>
          <w:tcPr>
            <w:tcW w:type="dxa" w:w="3175"/>
          </w:tcPr>
          <w:p>
            <w:pPr>
              <w:spacing w:after="0" w:before="0"/>
            </w:pPr>
            <w:r/>
            <w:r>
              <w:rPr>
                <w:b w:val="0"/>
                <w:i w:val="0"/>
                <w:color w:val="1A1A1A"/>
                <w:sz w:val="18"/>
              </w:rPr>
              <w:t>geändertes Bankettformular; Ablauf für das Wiegen</w:t>
            </w:r>
          </w:p>
        </w:tc>
        <w:tc>
          <w:tcPr>
            <w:tcW w:type="dxa" w:w="3175"/>
          </w:tcPr>
          <w:p>
            <w:pPr>
              <w:spacing w:after="0" w:before="0"/>
            </w:pPr>
            <w:r/>
            <w:r>
              <w:rPr>
                <w:b w:val="0"/>
                <w:i w:val="0"/>
                <w:color w:val="1A1A1A"/>
                <w:sz w:val="18"/>
              </w:rPr>
              <w:t>Methode: Regel im Formular verankern, bevor der Vorgang schliesst</w:t>
            </w:r>
          </w:p>
        </w:tc>
      </w:tr>
      <w:tr>
        <w:trPr>
          <w:cantSplit w:val="true"/>
        </w:trPr>
        <w:tc>
          <w:tcPr>
            <w:tcW w:type="dxa" w:w="3288"/>
            <w:shd w:val="clear" w:color="auto" w:fill="F3EFE6"/>
          </w:tcPr>
          <w:p>
            <w:pPr>
              <w:spacing w:after="0" w:before="0"/>
            </w:pPr>
            <w:r/>
            <w:r>
              <w:rPr>
                <w:b w:val="0"/>
                <w:i w:val="0"/>
                <w:color w:val="1A1A1A"/>
                <w:sz w:val="18"/>
              </w:rPr>
              <w:t>Leistung und Wirksamkeit bewerten; Nachweise (9.1)</w:t>
            </w:r>
          </w:p>
        </w:tc>
        <w:tc>
          <w:tcPr>
            <w:tcW w:type="dxa" w:w="3175"/>
            <w:shd w:val="clear" w:color="auto" w:fill="F3EFE6"/>
          </w:tcPr>
          <w:p>
            <w:pPr>
              <w:spacing w:after="0" w:before="0"/>
            </w:pPr>
            <w:r/>
            <w:r>
              <w:rPr>
                <w:b w:val="0"/>
                <w:i w:val="0"/>
                <w:color w:val="1A1A1A"/>
                <w:sz w:val="18"/>
              </w:rPr>
              <w:t>Gewicht je Anlass; Einkaufsdaten; Karten zu jedem Einsatz</w:t>
            </w:r>
          </w:p>
        </w:tc>
        <w:tc>
          <w:tcPr>
            <w:tcW w:type="dxa" w:w="3175"/>
            <w:shd w:val="clear" w:color="auto" w:fill="F3EFE6"/>
          </w:tcPr>
          <w:p>
            <w:pPr>
              <w:spacing w:after="0" w:before="0"/>
            </w:pPr>
            <w:r/>
            <w:r>
              <w:rPr>
                <w:b w:val="0"/>
                <w:i w:val="0"/>
                <w:color w:val="1A1A1A"/>
                <w:sz w:val="18"/>
              </w:rPr>
              <w:t>Methode: drei Quellen, Daten, Beobachtung, Gespräch</w:t>
            </w:r>
          </w:p>
        </w:tc>
      </w:tr>
      <w:tr>
        <w:trPr>
          <w:cantSplit w:val="true"/>
        </w:trPr>
        <w:tc>
          <w:tcPr>
            <w:tcW w:type="dxa" w:w="3288"/>
          </w:tcPr>
          <w:p>
            <w:pPr>
              <w:spacing w:after="0" w:before="0"/>
            </w:pPr>
            <w:r/>
            <w:r>
              <w:rPr>
                <w:b w:val="0"/>
                <w:i w:val="0"/>
                <w:color w:val="1A1A1A"/>
                <w:sz w:val="18"/>
              </w:rPr>
              <w:t>Ergebnisse an die zuständige Leitung (9.2.2)</w:t>
            </w:r>
          </w:p>
        </w:tc>
        <w:tc>
          <w:tcPr>
            <w:tcW w:type="dxa" w:w="3175"/>
          </w:tcPr>
          <w:p>
            <w:pPr>
              <w:spacing w:after="0" w:before="0"/>
            </w:pPr>
            <w:r/>
            <w:r>
              <w:rPr>
                <w:b w:val="0"/>
                <w:i w:val="0"/>
                <w:color w:val="1A1A1A"/>
                <w:sz w:val="18"/>
              </w:rPr>
              <w:t>Nachprüfungsbericht an die Direktorin vor der Managementbewertung</w:t>
            </w:r>
          </w:p>
        </w:tc>
        <w:tc>
          <w:tcPr>
            <w:tcW w:type="dxa" w:w="3175"/>
          </w:tcPr>
          <w:p>
            <w:pPr>
              <w:spacing w:after="0" w:before="0"/>
            </w:pPr>
            <w:r/>
            <w:r>
              <w:rPr>
                <w:b w:val="0"/>
                <w:i w:val="0"/>
                <w:color w:val="1A1A1A"/>
                <w:sz w:val="18"/>
              </w:rPr>
              <w:t>ISO 19011:2026: faktengestützter Ansatz; Programm überwachen und bewerten</w:t>
            </w:r>
          </w:p>
        </w:tc>
      </w:tr>
    </w:tbl>
    <w:p>
      <w:pPr>
        <w:spacing w:after="40"/>
      </w:pPr>
    </w:p>
    <w:p>
      <w:pPr>
        <w:pStyle w:val="Heading2"/>
      </w:pPr>
      <w:r>
        <w:t>DACH-Anker: was die fünf Massnahmen rechtlich berühren</w:t>
      </w:r>
    </w:p>
    <w:tbl>
      <w:tblPr>
        <w:tblW w:type="auto" w:w="0"/>
        <w:jc w:val="center"/>
        <w:tblLook w:firstColumn="1" w:firstRow="1" w:lastColumn="0" w:lastRow="0" w:noHBand="0" w:noVBand="1" w:val="04A0"/>
        <w:tblBorders>
          <w:top w:val="single" w:sz="4" w:color="D9CBB5"/>
          <w:left w:val="single" w:sz="4" w:color="D9CBB5"/>
          <w:bottom w:val="single" w:sz="4" w:color="D9CBB5"/>
          <w:right w:val="single" w:sz="4" w:color="D9CBB5"/>
          <w:insideH w:val="single" w:sz="4" w:color="D9CBB5"/>
          <w:insideV w:val="single" w:sz="4" w:color="D9CBB5"/>
        </w:tblBorders>
        <w:tblLayout w:type="fixed"/>
        <w:tblCellMar>
          <w:top w:w="60" w:type="dxa"/>
          <w:left w:w="90" w:type="dxa"/>
          <w:bottom w:w="60" w:type="dxa"/>
          <w:right w:w="90" w:type="dxa"/>
        </w:tblCellMar>
      </w:tblPr>
      <w:tblGrid>
        <w:gridCol w:w="1474"/>
        <w:gridCol w:w="2721"/>
        <w:gridCol w:w="2721"/>
        <w:gridCol w:w="2721"/>
      </w:tblGrid>
      <w:tr>
        <w:trPr>
          <w:cantSplit w:val="true"/>
          <w:tblHeader w:val="true"/>
        </w:trPr>
        <w:tc>
          <w:tcPr>
            <w:tcW w:type="dxa" w:w="1474"/>
            <w:shd w:val="clear" w:color="auto" w:fill="8C5A2B"/>
          </w:tcPr>
          <w:p>
            <w:pPr>
              <w:spacing w:after="0" w:before="0"/>
            </w:pPr>
            <w:r/>
            <w:r>
              <w:rPr>
                <w:b/>
                <w:i w:val="0"/>
                <w:color w:val="FFFFFF"/>
                <w:sz w:val="17"/>
              </w:rPr>
              <w:t>Ebene</w:t>
            </w:r>
          </w:p>
        </w:tc>
        <w:tc>
          <w:tcPr>
            <w:tcW w:type="dxa" w:w="2721"/>
            <w:shd w:val="clear" w:color="auto" w:fill="8C5A2B"/>
          </w:tcPr>
          <w:p>
            <w:pPr>
              <w:spacing w:after="0" w:before="0"/>
            </w:pPr>
            <w:r/>
            <w:r>
              <w:rPr>
                <w:b/>
                <w:i w:val="0"/>
                <w:color w:val="FFFFFF"/>
                <w:sz w:val="17"/>
              </w:rPr>
              <w:t>Deutschland</w:t>
            </w:r>
          </w:p>
        </w:tc>
        <w:tc>
          <w:tcPr>
            <w:tcW w:type="dxa" w:w="2721"/>
            <w:shd w:val="clear" w:color="auto" w:fill="8C5A2B"/>
          </w:tcPr>
          <w:p>
            <w:pPr>
              <w:spacing w:after="0" w:before="0"/>
            </w:pPr>
            <w:r/>
            <w:r>
              <w:rPr>
                <w:b/>
                <w:i w:val="0"/>
                <w:color w:val="FFFFFF"/>
                <w:sz w:val="17"/>
              </w:rPr>
              <w:t>Österreich</w:t>
            </w:r>
          </w:p>
        </w:tc>
        <w:tc>
          <w:tcPr>
            <w:tcW w:type="dxa" w:w="2721"/>
            <w:shd w:val="clear" w:color="auto" w:fill="8C5A2B"/>
          </w:tcPr>
          <w:p>
            <w:pPr>
              <w:spacing w:after="0" w:before="0"/>
            </w:pPr>
            <w:r/>
            <w:r>
              <w:rPr>
                <w:b/>
                <w:i w:val="0"/>
                <w:color w:val="FFFFFF"/>
                <w:sz w:val="17"/>
              </w:rPr>
              <w:t>Schweiz</w:t>
            </w:r>
          </w:p>
        </w:tc>
      </w:tr>
      <w:tr>
        <w:trPr>
          <w:cantSplit w:val="true"/>
        </w:trPr>
        <w:tc>
          <w:tcPr>
            <w:tcW w:type="dxa" w:w="1474"/>
          </w:tcPr>
          <w:p>
            <w:pPr>
              <w:spacing w:after="0" w:before="0"/>
            </w:pPr>
            <w:r/>
            <w:r>
              <w:rPr>
                <w:b w:val="0"/>
                <w:i w:val="0"/>
                <w:color w:val="1A1A1A"/>
                <w:sz w:val="17"/>
              </w:rPr>
              <w:t>Waage für eigene Kennzahlen</w:t>
            </w:r>
          </w:p>
        </w:tc>
        <w:tc>
          <w:tcPr>
            <w:tcW w:type="dxa" w:w="2721"/>
          </w:tcPr>
          <w:p>
            <w:pPr>
              <w:spacing w:after="0" w:before="0"/>
            </w:pPr>
            <w:r/>
            <w:r>
              <w:rPr>
                <w:b w:val="0"/>
                <w:i w:val="0"/>
                <w:color w:val="1A1A1A"/>
                <w:sz w:val="17"/>
              </w:rPr>
              <w:t>eichpflichtig nur im geschäftlichen oder amtlichen Verkehr (§ 1 Abs. 2 MessEV; Band 8a, 2.11)</w:t>
            </w:r>
          </w:p>
        </w:tc>
        <w:tc>
          <w:tcPr>
            <w:tcW w:type="dxa" w:w="2721"/>
          </w:tcPr>
          <w:p>
            <w:pPr>
              <w:spacing w:after="0" w:before="0"/>
            </w:pPr>
            <w:r/>
            <w:r>
              <w:rPr>
                <w:b w:val="0"/>
                <w:i w:val="0"/>
                <w:color w:val="1A1A1A"/>
                <w:sz w:val="17"/>
              </w:rPr>
              <w:t>eichpflichtig im amtlichen oder rechtsgeschäftlichen Verkehr und bei Entgelt nach Gewicht (§ 8 MEG)</w:t>
            </w:r>
          </w:p>
        </w:tc>
        <w:tc>
          <w:tcPr>
            <w:tcW w:type="dxa" w:w="2721"/>
          </w:tcPr>
          <w:p>
            <w:pPr>
              <w:spacing w:after="0" w:before="0"/>
            </w:pPr>
            <w:r/>
            <w:r>
              <w:rPr>
                <w:b w:val="0"/>
                <w:i w:val="0"/>
                <w:color w:val="1A1A1A"/>
                <w:sz w:val="17"/>
              </w:rPr>
              <w:t>Messbeständigkeit nach Messgesetz, Vollzug durch die Kantone (Art. 9 und 16 MessG)</w:t>
            </w:r>
          </w:p>
        </w:tc>
      </w:tr>
      <w:tr>
        <w:trPr>
          <w:cantSplit w:val="true"/>
        </w:trPr>
        <w:tc>
          <w:tcPr>
            <w:tcW w:type="dxa" w:w="1474"/>
            <w:shd w:val="clear" w:color="auto" w:fill="F3EFE6"/>
          </w:tcPr>
          <w:p>
            <w:pPr>
              <w:spacing w:after="0" w:before="0"/>
            </w:pPr>
            <w:r/>
            <w:r>
              <w:rPr>
                <w:b w:val="0"/>
                <w:i w:val="0"/>
                <w:color w:val="1A1A1A"/>
                <w:sz w:val="17"/>
              </w:rPr>
              <w:t>Einweisung überlassener Aushilfen</w:t>
            </w:r>
          </w:p>
        </w:tc>
        <w:tc>
          <w:tcPr>
            <w:tcW w:type="dxa" w:w="2721"/>
            <w:shd w:val="clear" w:color="auto" w:fill="F3EFE6"/>
          </w:tcPr>
          <w:p>
            <w:pPr>
              <w:spacing w:after="0" w:before="0"/>
            </w:pPr>
            <w:r/>
            <w:r>
              <w:rPr>
                <w:b w:val="0"/>
                <w:i w:val="0"/>
                <w:color w:val="1A1A1A"/>
                <w:sz w:val="17"/>
              </w:rPr>
              <w:t>Unterweisung vor der Tätigkeit; bei Überlassung durch den Entleiher (§ 12 ArbSchG)</w:t>
            </w:r>
          </w:p>
        </w:tc>
        <w:tc>
          <w:tcPr>
            <w:tcW w:type="dxa" w:w="2721"/>
            <w:shd w:val="clear" w:color="auto" w:fill="F3EFE6"/>
          </w:tcPr>
          <w:p>
            <w:pPr>
              <w:spacing w:after="0" w:before="0"/>
            </w:pPr>
            <w:r/>
            <w:r>
              <w:rPr>
                <w:b w:val="0"/>
                <w:i w:val="0"/>
                <w:color w:val="1A1A1A"/>
                <w:sz w:val="17"/>
              </w:rPr>
              <w:t>nachweislich, vor Aufnahme der Tätigkeit (§ 14 ASchG)</w:t>
            </w:r>
          </w:p>
        </w:tc>
        <w:tc>
          <w:tcPr>
            <w:tcW w:type="dxa" w:w="2721"/>
            <w:shd w:val="clear" w:color="auto" w:fill="F3EFE6"/>
          </w:tcPr>
          <w:p>
            <w:pPr>
              <w:spacing w:after="0" w:before="0"/>
            </w:pPr>
            <w:r/>
            <w:r>
              <w:rPr>
                <w:b w:val="0"/>
                <w:i w:val="0"/>
                <w:color w:val="1A1A1A"/>
                <w:sz w:val="17"/>
              </w:rPr>
              <w:t>Information und Anleitung auch für Arbeitnehmer anderer Betriebe (Art. 6 Abs. 1 VUV)</w:t>
            </w:r>
          </w:p>
        </w:tc>
      </w:tr>
      <w:tr>
        <w:trPr>
          <w:cantSplit w:val="true"/>
        </w:trPr>
        <w:tc>
          <w:tcPr>
            <w:tcW w:type="dxa" w:w="1474"/>
          </w:tcPr>
          <w:p>
            <w:pPr>
              <w:spacing w:after="0" w:before="0"/>
            </w:pPr>
            <w:r/>
            <w:r>
              <w:rPr>
                <w:b w:val="0"/>
                <w:i w:val="0"/>
                <w:color w:val="1A1A1A"/>
                <w:sz w:val="17"/>
              </w:rPr>
              <w:t>Karten und Dienstpläne mit Namen</w:t>
            </w:r>
          </w:p>
        </w:tc>
        <w:tc>
          <w:tcPr>
            <w:tcW w:type="dxa" w:w="2721"/>
          </w:tcPr>
          <w:p>
            <w:pPr>
              <w:spacing w:after="0" w:before="0"/>
            </w:pPr>
            <w:r/>
            <w:r>
              <w:rPr>
                <w:b w:val="0"/>
                <w:i w:val="0"/>
                <w:color w:val="1A1A1A"/>
                <w:sz w:val="17"/>
              </w:rPr>
              <w:t>DSGVO</w:t>
            </w:r>
          </w:p>
        </w:tc>
        <w:tc>
          <w:tcPr>
            <w:tcW w:type="dxa" w:w="2721"/>
          </w:tcPr>
          <w:p>
            <w:pPr>
              <w:spacing w:after="0" w:before="0"/>
            </w:pPr>
            <w:r/>
            <w:r>
              <w:rPr>
                <w:b w:val="0"/>
                <w:i w:val="0"/>
                <w:color w:val="1A1A1A"/>
                <w:sz w:val="17"/>
              </w:rPr>
              <w:t>DSGVO</w:t>
            </w:r>
          </w:p>
        </w:tc>
        <w:tc>
          <w:tcPr>
            <w:tcW w:type="dxa" w:w="2721"/>
          </w:tcPr>
          <w:p>
            <w:pPr>
              <w:spacing w:after="0" w:before="0"/>
            </w:pPr>
            <w:r/>
            <w:r>
              <w:rPr>
                <w:b w:val="0"/>
                <w:i w:val="0"/>
                <w:color w:val="1A1A1A"/>
                <w:sz w:val="17"/>
              </w:rPr>
              <w:t>Datenschutzgesetz</w:t>
            </w:r>
          </w:p>
        </w:tc>
      </w:tr>
      <w:tr>
        <w:trPr>
          <w:cantSplit w:val="true"/>
        </w:trPr>
        <w:tc>
          <w:tcPr>
            <w:tcW w:type="dxa" w:w="1474"/>
            <w:shd w:val="clear" w:color="auto" w:fill="F3EFE6"/>
          </w:tcPr>
          <w:p>
            <w:pPr>
              <w:spacing w:after="0" w:before="0"/>
            </w:pPr>
            <w:r/>
            <w:r>
              <w:rPr>
                <w:b w:val="0"/>
                <w:i w:val="0"/>
                <w:color w:val="1A1A1A"/>
                <w:sz w:val="17"/>
              </w:rPr>
              <w:t>Getrennte Sammlung</w:t>
            </w:r>
          </w:p>
        </w:tc>
        <w:tc>
          <w:tcPr>
            <w:tcW w:type="dxa" w:w="2721"/>
            <w:shd w:val="clear" w:color="auto" w:fill="F3EFE6"/>
          </w:tcPr>
          <w:p>
            <w:pPr>
              <w:spacing w:after="0" w:before="0"/>
            </w:pPr>
            <w:r/>
            <w:r>
              <w:rPr>
                <w:b w:val="0"/>
                <w:i w:val="0"/>
                <w:color w:val="1A1A1A"/>
                <w:sz w:val="17"/>
              </w:rPr>
              <w:t>Dokumentation der Getrennthaltung (§ 3 GewAbfV)</w:t>
            </w:r>
          </w:p>
        </w:tc>
        <w:tc>
          <w:tcPr>
            <w:tcW w:type="dxa" w:w="2721"/>
            <w:shd w:val="clear" w:color="auto" w:fill="F3EFE6"/>
          </w:tcPr>
          <w:p>
            <w:pPr>
              <w:spacing w:after="0" w:before="0"/>
            </w:pPr>
            <w:r/>
            <w:r>
              <w:rPr>
                <w:b w:val="0"/>
                <w:i w:val="0"/>
                <w:color w:val="1A1A1A"/>
                <w:sz w:val="17"/>
              </w:rPr>
              <w:t>Landesrecht, Abfuhrordnung der Gemeinde</w:t>
            </w:r>
          </w:p>
        </w:tc>
        <w:tc>
          <w:tcPr>
            <w:tcW w:type="dxa" w:w="2721"/>
            <w:shd w:val="clear" w:color="auto" w:fill="F3EFE6"/>
          </w:tcPr>
          <w:p>
            <w:pPr>
              <w:spacing w:after="0" w:before="0"/>
            </w:pPr>
            <w:r/>
            <w:r>
              <w:rPr>
                <w:b w:val="0"/>
                <w:i w:val="0"/>
                <w:color w:val="1A1A1A"/>
                <w:sz w:val="17"/>
              </w:rPr>
              <w:t>Vorgaben von Kanton und Gemeinde</w:t>
            </w:r>
          </w:p>
        </w:tc>
      </w:tr>
      <w:tr>
        <w:trPr>
          <w:cantSplit w:val="true"/>
        </w:trPr>
        <w:tc>
          <w:tcPr>
            <w:tcW w:type="dxa" w:w="1474"/>
          </w:tcPr>
          <w:p>
            <w:pPr>
              <w:spacing w:after="0" w:before="0"/>
            </w:pPr>
            <w:r/>
            <w:r>
              <w:rPr>
                <w:b w:val="0"/>
                <w:i w:val="0"/>
                <w:color w:val="1A1A1A"/>
                <w:sz w:val="17"/>
              </w:rPr>
              <w:t>Aussagen über gesenkte Speisereste</w:t>
            </w:r>
          </w:p>
        </w:tc>
        <w:tc>
          <w:tcPr>
            <w:tcW w:type="dxa" w:w="2721"/>
          </w:tcPr>
          <w:p>
            <w:pPr>
              <w:spacing w:after="0" w:before="0"/>
            </w:pPr>
            <w:r/>
            <w:r>
              <w:rPr>
                <w:b w:val="0"/>
                <w:i w:val="0"/>
                <w:color w:val="1A1A1A"/>
                <w:sz w:val="17"/>
              </w:rPr>
              <w:t>gegenüber Verbrauchern Regeln zu Umweltaussagen ab 27. September 2026 (UWG)</w:t>
            </w:r>
          </w:p>
        </w:tc>
        <w:tc>
          <w:tcPr>
            <w:tcW w:type="dxa" w:w="2721"/>
          </w:tcPr>
          <w:p>
            <w:pPr>
              <w:spacing w:after="0" w:before="0"/>
            </w:pPr>
            <w:r/>
            <w:r>
              <w:rPr>
                <w:b w:val="0"/>
                <w:i w:val="0"/>
                <w:color w:val="1A1A1A"/>
                <w:sz w:val="17"/>
              </w:rPr>
              <w:t>ebenso gegenüber Verbrauchern (BGBl. I Nr. 58/2026)</w:t>
            </w:r>
          </w:p>
        </w:tc>
        <w:tc>
          <w:tcPr>
            <w:tcW w:type="dxa" w:w="2721"/>
          </w:tcPr>
          <w:p>
            <w:pPr>
              <w:spacing w:after="0" w:before="0"/>
            </w:pPr>
            <w:r/>
            <w:r>
              <w:rPr>
                <w:b w:val="0"/>
                <w:i w:val="0"/>
                <w:color w:val="1A1A1A"/>
                <w:sz w:val="17"/>
              </w:rPr>
              <w:t>Klimaaussagen nur mit objektiven und überprüfbaren Grundlagen (Art. 3 Abs. 1 lit. x UWG)</w:t>
            </w:r>
          </w:p>
        </w:tc>
      </w:tr>
    </w:tbl>
    <w:p>
      <w:pPr>
        <w:spacing w:after="40"/>
      </w:pPr>
    </w:p>
    <w:p>
      <w:r>
        <w:rPr>
          <w:b w:val="0"/>
          <w:i w:val="0"/>
          <w:color w:val="5A5A5A"/>
          <w:sz w:val="17"/>
        </w:rPr>
        <w:t>Stand der Tabelle: 23. Oktober 2026, wie im Buch. Die laufende Fassung mit Änderungen nach diesem Stichtag steht in Band8b_Rechtsanker_DACH_laufend.xlsx. Die Tabelle ersetzt keine Prüfung der geltenden Fassung und keine Rechtsberatung im Einzelfall.</w:t>
      </w:r>
    </w:p>
    <w:p>
      <w:r>
        <w:rPr>
          <w:b w:val="0"/>
          <w:i w:val="0"/>
          <w:color w:val="5A5A5A"/>
          <w:sz w:val="17"/>
        </w:rPr>
        <w:t>Quelle: Francesco Dore, Das Steuer und die Lupe, Band 8b «Ein Fest prüfen, solange es stattfindet», Abschnitt 3.13. Edizioni Effedore, 2026.</w:t>
      </w:r>
    </w:p>
    <w:sectPr w:rsidR="00FC693F" w:rsidRPr="0006063C" w:rsidSect="00034616">
      <w:footerReference w:type="default" r:id="rId9"/>
      <w:headerReference w:type="default" r:id="rId10"/>
      <w:pgSz w:w="11906" w:h="16838"/>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
      <w:rPr>
        <w:color w:val="5A5A5A"/>
        <w:sz w:val="15"/>
      </w:rPr>
      <w:t xml:space="preserve">Arbeitsmaterial 3.13 · Edizioni Effedore · buecher.effedore.com · Arbeitshilfe, keine Rechtsberatung  ·  Seite </w:t>
    </w:r>
    <w:r>
      <w:rPr>
        <w:color w:val="5A5A5A"/>
        <w:sz w:val="15"/>
      </w:rPr>
      <w:fldChar w:fldCharType="begin"/>
      <w:instrText xml:space="preserve">PAGE</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
      <w:rPr>
        <w:color w:val="8C5A2B"/>
        <w:sz w:val="15"/>
      </w:rPr>
      <w:t>Das Steuer und die Lupe · Band 8b · ISO 20121 — Ein Fest prüfen, solange es stattfindet</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69" w:lineRule="auto"/>
    </w:pPr>
    <w:rPr>
      <w:rFonts w:ascii="Aptos" w:hAnsi="Aptos" w:eastAsia="Aptos"/>
      <w:color w:val="1A1A1A"/>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0" w:after="80"/>
      <w:outlineLvl w:val="0"/>
    </w:pPr>
    <w:rPr>
      <w:rFonts w:asciiTheme="" w:eastAsiaTheme="majorEastAsia" w:hAnsiTheme="majorHAnsi" w:cstheme="majorBidi" w:ascii="Aptos" w:hAnsi="Aptos"/>
      <w:b/>
      <w:bCs/>
      <w:color w:val="8C5A2B"/>
      <w:sz w:val="36"/>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Theme="" w:eastAsiaTheme="majorEastAsia" w:hAnsiTheme="majorHAnsi" w:cstheme="majorBidi" w:ascii="Aptos" w:hAnsi="Aptos"/>
      <w:b/>
      <w:bCs/>
      <w:color w:val="8C5A2B"/>
      <w:sz w:val="25"/>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Arbeitsmaterial 3.13 — Maßnahmen nachverfolgen und ihre Wirksamkeit an Daten nach der Maßnahme prüfen</dc:title>
  <dc:subject/>
  <dc:creator>Francesco Dore</dc:creator>
  <cp:keywords/>
  <dc:description>generated by python-docx</dc:description>
  <cp:lastModifiedBy/>
  <cp:revision>1</cp:revision>
  <dcterms:created xsi:type="dcterms:W3CDTF">2013-12-23T23:15:00Z</dcterms:created>
  <dcterms:modified xsi:type="dcterms:W3CDTF">2013-12-23T23:15:00Z</dcterms:modified>
  <cp:category/>
</cp:coreProperties>
</file>