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3.14</w:t>
      </w:r>
    </w:p>
    <w:p>
      <w:pPr>
        <w:pStyle w:val="Heading1"/>
      </w:pPr>
      <w:r>
        <w:t>Einen Dienstleister auditieren</w:t>
      </w:r>
    </w:p>
    <w:p>
      <w:pPr>
        <w:spacing w:after="0"/>
      </w:pPr>
      <w:r>
        <w:rPr>
          <w:b w:val="0"/>
          <w:i/>
          <w:color w:val="5A5A5A"/>
        </w:rPr>
        <w:t>Abschnitt 3.14 · Lieferkette und Dienstleister im Audit</w:t>
      </w:r>
    </w:p>
    <w:p>
      <w:pPr>
        <w:spacing w:after="160"/>
      </w:pPr>
      <w:r>
        <w:rPr>
          <w:b w:val="0"/>
          <w:i w:val="0"/>
          <w:color w:val="5A5A5A"/>
          <w:sz w:val="18"/>
        </w:rPr>
        <w:t>Modellfall im Buch: Bonn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Haus einem Kunden etwas zusagt, das ein Dienstleister für Sie erbringt: Hat jemand aus Ihrem Haus gesehen, wie dieser Dienstleister arbeitet? Und was dürften Sie bei ihm überhaupt prüfen, wenn Sie morgen vor seiner Tür stünden?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das Haus beim Dienstleister prüft, und was nicht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Bereich</w:t>
            </w:r>
          </w:p>
        </w:tc>
        <w:tc>
          <w:tcPr>
            <w:tcW w:type="dxa" w:w="3213"/>
            <w:shd w:val="clear" w:color="auto" w:fill="8C5A2B"/>
          </w:tcPr>
          <w:p>
            <w:pPr>
              <w:spacing w:after="0" w:before="0"/>
            </w:pPr>
            <w:r/>
            <w:r>
              <w:rPr>
                <w:b/>
                <w:i w:val="0"/>
                <w:color w:val="FFFFFF"/>
                <w:sz w:val="18"/>
              </w:rPr>
              <w:t>Prüft das Haus</w:t>
            </w:r>
          </w:p>
        </w:tc>
        <w:tc>
          <w:tcPr>
            <w:tcW w:type="dxa" w:w="3213"/>
            <w:shd w:val="clear" w:color="auto" w:fill="8C5A2B"/>
          </w:tcPr>
          <w:p>
            <w:pPr>
              <w:spacing w:after="0" w:before="0"/>
            </w:pPr>
            <w:r/>
            <w:r>
              <w:rPr>
                <w:b/>
                <w:i w:val="0"/>
                <w:color w:val="FFFFFF"/>
                <w:sz w:val="18"/>
              </w:rPr>
              <w:t>Prüft es nicht (oder ein anderer)</w:t>
            </w:r>
          </w:p>
        </w:tc>
      </w:tr>
      <w:tr>
        <w:trPr>
          <w:cantSplit w:val="true"/>
        </w:trPr>
        <w:tc>
          <w:tcPr>
            <w:tcW w:type="dxa" w:w="3213"/>
          </w:tcPr>
          <w:p>
            <w:pPr>
              <w:spacing w:after="0" w:before="0"/>
            </w:pPr>
            <w:r/>
            <w:r>
              <w:rPr>
                <w:b w:val="0"/>
                <w:i w:val="0"/>
                <w:color w:val="1A1A1A"/>
                <w:sz w:val="18"/>
              </w:rPr>
              <w:t>Auftrag und Zusagen</w:t>
            </w:r>
          </w:p>
        </w:tc>
        <w:tc>
          <w:tcPr>
            <w:tcW w:type="dxa" w:w="3213"/>
          </w:tcPr>
          <w:p>
            <w:pPr>
              <w:spacing w:after="0" w:before="0"/>
            </w:pPr>
            <w:r/>
            <w:r>
              <w:rPr>
                <w:b w:val="0"/>
                <w:i w:val="0"/>
                <w:color w:val="1A1A1A"/>
                <w:sz w:val="18"/>
              </w:rPr>
              <w:t>ob jede Zusage an Kunden im Auftrag steht; aktuelle Fassung der Anlagen</w:t>
            </w:r>
          </w:p>
        </w:tc>
        <w:tc>
          <w:tcPr>
            <w:tcW w:type="dxa" w:w="3213"/>
          </w:tcPr>
          <w:p>
            <w:pPr>
              <w:spacing w:after="0" w:before="0"/>
            </w:pPr>
            <w:r/>
            <w:r>
              <w:rPr>
                <w:b w:val="0"/>
                <w:i w:val="0"/>
                <w:color w:val="1A1A1A"/>
                <w:sz w:val="18"/>
              </w:rPr>
              <w:t>Verträge des Lieferanten mit anderen Kunden</w:t>
            </w:r>
          </w:p>
        </w:tc>
      </w:tr>
      <w:tr>
        <w:trPr>
          <w:cantSplit w:val="true"/>
        </w:trPr>
        <w:tc>
          <w:tcPr>
            <w:tcW w:type="dxa" w:w="3213"/>
            <w:shd w:val="clear" w:color="auto" w:fill="F3EFE6"/>
          </w:tcPr>
          <w:p>
            <w:pPr>
              <w:spacing w:after="0" w:before="0"/>
            </w:pPr>
            <w:r/>
            <w:r>
              <w:rPr>
                <w:b w:val="0"/>
                <w:i w:val="0"/>
                <w:color w:val="1A1A1A"/>
                <w:sz w:val="18"/>
              </w:rPr>
              <w:t>Kräfte der Agentur im Haus</w:t>
            </w:r>
          </w:p>
        </w:tc>
        <w:tc>
          <w:tcPr>
            <w:tcW w:type="dxa" w:w="3213"/>
            <w:shd w:val="clear" w:color="auto" w:fill="F3EFE6"/>
          </w:tcPr>
          <w:p>
            <w:pPr>
              <w:spacing w:after="0" w:before="0"/>
            </w:pPr>
            <w:r/>
            <w:r>
              <w:rPr>
                <w:b w:val="0"/>
                <w:i w:val="0"/>
                <w:color w:val="1A1A1A"/>
                <w:sz w:val="18"/>
              </w:rPr>
              <w:t>Einweisung, Arbeitszeiten der Einsätze im Haus, mit Kürzeln</w:t>
            </w:r>
          </w:p>
        </w:tc>
        <w:tc>
          <w:tcPr>
            <w:tcW w:type="dxa" w:w="3213"/>
            <w:shd w:val="clear" w:color="auto" w:fill="F3EFE6"/>
          </w:tcPr>
          <w:p>
            <w:pPr>
              <w:spacing w:after="0" w:before="0"/>
            </w:pPr>
            <w:r/>
            <w:r>
              <w:rPr>
                <w:b w:val="0"/>
                <w:i w:val="0"/>
                <w:color w:val="1A1A1A"/>
                <w:sz w:val="18"/>
              </w:rPr>
              <w:t>Personalakten, Löhne, Einsätze bei anderen Kunden</w:t>
            </w:r>
          </w:p>
        </w:tc>
      </w:tr>
      <w:tr>
        <w:trPr>
          <w:cantSplit w:val="true"/>
        </w:trPr>
        <w:tc>
          <w:tcPr>
            <w:tcW w:type="dxa" w:w="3213"/>
          </w:tcPr>
          <w:p>
            <w:pPr>
              <w:spacing w:after="0" w:before="0"/>
            </w:pPr>
            <w:r/>
            <w:r>
              <w:rPr>
                <w:b w:val="0"/>
                <w:i w:val="0"/>
                <w:color w:val="1A1A1A"/>
                <w:sz w:val="18"/>
              </w:rPr>
              <w:t>Arbeit des Caterers bei Außenveranstaltungen</w:t>
            </w:r>
          </w:p>
        </w:tc>
        <w:tc>
          <w:tcPr>
            <w:tcW w:type="dxa" w:w="3213"/>
          </w:tcPr>
          <w:p>
            <w:pPr>
              <w:spacing w:after="0" w:before="0"/>
            </w:pPr>
            <w:r/>
            <w:r>
              <w:rPr>
                <w:b w:val="0"/>
                <w:i w:val="0"/>
                <w:color w:val="1A1A1A"/>
                <w:sz w:val="18"/>
              </w:rPr>
              <w:t>Geschirr, Trennung, Wiegen, Weitergabe von Speisen</w:t>
            </w:r>
          </w:p>
        </w:tc>
        <w:tc>
          <w:tcPr>
            <w:tcW w:type="dxa" w:w="3213"/>
          </w:tcPr>
          <w:p>
            <w:pPr>
              <w:spacing w:after="0" w:before="0"/>
            </w:pPr>
            <w:r/>
            <w:r>
              <w:rPr>
                <w:b w:val="0"/>
                <w:i w:val="0"/>
                <w:color w:val="1A1A1A"/>
                <w:sz w:val="18"/>
              </w:rPr>
              <w:t>Lebensmittelhygiene (Lebensmittelüberwachung)</w:t>
            </w:r>
          </w:p>
        </w:tc>
      </w:tr>
      <w:tr>
        <w:trPr>
          <w:cantSplit w:val="true"/>
        </w:trPr>
        <w:tc>
          <w:tcPr>
            <w:tcW w:type="dxa" w:w="3213"/>
            <w:shd w:val="clear" w:color="auto" w:fill="F3EFE6"/>
          </w:tcPr>
          <w:p>
            <w:pPr>
              <w:spacing w:after="0" w:before="0"/>
            </w:pPr>
            <w:r/>
            <w:r>
              <w:rPr>
                <w:b w:val="0"/>
                <w:i w:val="0"/>
                <w:color w:val="1A1A1A"/>
                <w:sz w:val="18"/>
              </w:rPr>
              <w:t>Betrieb des Lieferanten jenseits des Auftrags</w:t>
            </w:r>
          </w:p>
        </w:tc>
        <w:tc>
          <w:tcPr>
            <w:tcW w:type="dxa" w:w="3213"/>
            <w:shd w:val="clear" w:color="auto" w:fill="F3EFE6"/>
          </w:tcPr>
          <w:p>
            <w:pPr>
              <w:spacing w:after="0" w:before="0"/>
            </w:pPr>
            <w:r/>
            <w:r>
              <w:rPr>
                <w:b w:val="0"/>
                <w:i w:val="0"/>
                <w:color w:val="1A1A1A"/>
                <w:sz w:val="18"/>
              </w:rPr>
              <w:t>als Hinweis: Fahrzeuge, Energie, Verpackung</w:t>
            </w:r>
          </w:p>
        </w:tc>
        <w:tc>
          <w:tcPr>
            <w:tcW w:type="dxa" w:w="3213"/>
            <w:shd w:val="clear" w:color="auto" w:fill="F3EFE6"/>
          </w:tcPr>
          <w:p>
            <w:pPr>
              <w:spacing w:after="0" w:before="0"/>
            </w:pPr>
            <w:r/>
            <w:r>
              <w:rPr>
                <w:b w:val="0"/>
                <w:i w:val="0"/>
                <w:color w:val="1A1A1A"/>
                <w:sz w:val="18"/>
              </w:rPr>
              <w:t>keine Nichtkonformität, solange nicht beauftragt</w:t>
            </w:r>
          </w:p>
        </w:tc>
      </w:tr>
      <w:tr>
        <w:trPr>
          <w:cantSplit w:val="true"/>
        </w:trPr>
        <w:tc>
          <w:tcPr>
            <w:tcW w:type="dxa" w:w="3213"/>
          </w:tcPr>
          <w:p>
            <w:pPr>
              <w:spacing w:after="0" w:before="0"/>
            </w:pPr>
            <w:r/>
            <w:r>
              <w:rPr>
                <w:b w:val="0"/>
                <w:i w:val="0"/>
                <w:color w:val="1A1A1A"/>
                <w:sz w:val="18"/>
              </w:rPr>
              <w:t>Wirksamkeit vereinbarter Maßnahmen</w:t>
            </w:r>
          </w:p>
        </w:tc>
        <w:tc>
          <w:tcPr>
            <w:tcW w:type="dxa" w:w="3213"/>
          </w:tcPr>
          <w:p>
            <w:pPr>
              <w:spacing w:after="0" w:before="0"/>
            </w:pPr>
            <w:r/>
            <w:r>
              <w:rPr>
                <w:b w:val="0"/>
                <w:i w:val="0"/>
                <w:color w:val="1A1A1A"/>
                <w:sz w:val="18"/>
              </w:rPr>
              <w:t>beim nächsten Einsatz, am Ort</w:t>
            </w:r>
          </w:p>
        </w:tc>
        <w:tc>
          <w:tcPr>
            <w:tcW w:type="dxa" w:w="3213"/>
          </w:tcPr>
          <w:p>
            <w:pPr>
              <w:spacing w:after="0" w:before="0"/>
            </w:pPr>
            <w:r/>
            <w:r>
              <w:rPr>
                <w:b w:val="0"/>
                <w:i w:val="0"/>
                <w:color w:val="1A1A1A"/>
                <w:sz w:val="18"/>
              </w:rPr>
              <w:t>Zertifikate des Lieferanten als Ersatz für Nachsehen</w:t>
            </w:r>
          </w:p>
        </w:tc>
      </w:tr>
    </w:tbl>
    <w:p>
      <w:pPr>
        <w:spacing w:after="40"/>
      </w:pPr>
    </w:p>
    <w:p>
      <w:pPr>
        <w:pStyle w:val="Heading2"/>
      </w:pPr>
      <w:r>
        <w:t>Praktische Anwendung: einen Dienstleister in sieben Schritten auditieren</w:t>
      </w:r>
    </w:p>
    <w:p>
      <w:pPr>
        <w:tabs>
          <w:tab w:pos="340" w:val="left"/>
        </w:tabs>
        <w:ind w:left="340" w:hanging="340"/>
      </w:pPr>
      <w:r>
        <w:rPr>
          <w:b/>
          <w:color w:val="8C5A2B"/>
        </w:rPr>
        <w:t>1.</w:t>
        <w:tab/>
      </w:r>
      <w:r>
        <w:rPr>
          <w:b/>
        </w:rPr>
        <w:t>Nach Gewicht auswählen.</w:t>
      </w:r>
      <w:r>
        <w:t xml:space="preserve"> Prüfen Sie zuerst die Dienstleister, deren Leistung Sie Kunden zusagen oder deren Personal in Ihrem Haus arbeitet. Umfang und Häufigkeit richten sich nach Stunden, Aufträgen und Risiko.</w:t>
      </w:r>
    </w:p>
    <w:p>
      <w:pPr>
        <w:tabs>
          <w:tab w:pos="340" w:val="left"/>
        </w:tabs>
        <w:ind w:left="340" w:hanging="340"/>
      </w:pPr>
      <w:r>
        <w:rPr>
          <w:b/>
          <w:color w:val="8C5A2B"/>
        </w:rPr>
        <w:t>2.</w:t>
        <w:tab/>
      </w:r>
      <w:r>
        <w:rPr>
          <w:b/>
        </w:rPr>
        <w:t>Angebot und Auftrag vergleichen.</w:t>
      </w:r>
      <w:r>
        <w:t xml:space="preserve"> Legen Sie jede Zusage an Kunden neben den Auftrag an den Dienstleister. Was fehlt, ist eine Feststellung im eigenen Haus, noch bevor Sie losfahren.</w:t>
      </w:r>
    </w:p>
    <w:p>
      <w:pPr>
        <w:tabs>
          <w:tab w:pos="340" w:val="left"/>
        </w:tabs>
        <w:ind w:left="340" w:hanging="340"/>
      </w:pPr>
      <w:r>
        <w:rPr>
          <w:b/>
          <w:color w:val="8C5A2B"/>
        </w:rPr>
        <w:t>3.</w:t>
        <w:tab/>
      </w:r>
      <w:r>
        <w:rPr>
          <w:b/>
        </w:rPr>
        <w:t>Das Recht zu prüfen klären.</w:t>
      </w:r>
      <w:r>
        <w:t xml:space="preserve"> Steht ein Prüfrecht im Vertrag, und welche Daten dürfen Sie sehen? Fehlt es, fragen Sie und schreiben es in den nächsten Vertrag.</w:t>
      </w:r>
    </w:p>
    <w:p>
      <w:pPr>
        <w:tabs>
          <w:tab w:pos="340" w:val="left"/>
        </w:tabs>
        <w:ind w:left="340" w:hanging="340"/>
      </w:pPr>
      <w:r>
        <w:rPr>
          <w:b/>
          <w:color w:val="8C5A2B"/>
        </w:rPr>
        <w:t>4.</w:t>
        <w:tab/>
      </w:r>
      <w:r>
        <w:rPr>
          <w:b/>
        </w:rPr>
        <w:t>Wenige Fragen mitnehmen.</w:t>
      </w:r>
      <w:r>
        <w:t xml:space="preserve"> Eine Seite mit den Punkten, die im Auftrag stehen. Ein Betrieb mit vierzehn Leuten muss das an einem Vormittag schaffen.</w:t>
      </w:r>
    </w:p>
    <w:p>
      <w:pPr>
        <w:tabs>
          <w:tab w:pos="340" w:val="left"/>
        </w:tabs>
        <w:ind w:left="340" w:hanging="340"/>
      </w:pPr>
      <w:r>
        <w:rPr>
          <w:b/>
          <w:color w:val="8C5A2B"/>
        </w:rPr>
        <w:t>5.</w:t>
        <w:tab/>
      </w:r>
      <w:r>
        <w:rPr>
          <w:b/>
        </w:rPr>
        <w:t>Am Ort und an Dokumenten prüfen.</w:t>
      </w:r>
      <w:r>
        <w:t xml:space="preserve"> Unterlagen können Sie aus der Ferne sehen, Lager, Küche und Fest nur vor Ort. Notieren Sie Datum, Ort, Dokument und Gesprächspartner.</w:t>
      </w:r>
    </w:p>
    <w:p>
      <w:pPr>
        <w:tabs>
          <w:tab w:pos="340" w:val="left"/>
        </w:tabs>
        <w:ind w:left="340" w:hanging="340"/>
      </w:pPr>
      <w:r>
        <w:rPr>
          <w:b/>
          <w:color w:val="8C5A2B"/>
        </w:rPr>
        <w:t>6.</w:t>
        <w:tab/>
      </w:r>
      <w:r>
        <w:rPr>
          <w:b/>
        </w:rPr>
        <w:t>Feststellungen richtig zuordnen.</w:t>
      </w:r>
      <w:r>
        <w:t xml:space="preserve"> Liegt die Ursache im Auftrag, gehört die Feststellung dem Haus. Liegt sie bei der Ausführung, teilen Sie sie dem Dienstleister mit und vereinbaren Maßnahmen. Was nur beeinflussbar ist, geht als Hinweis an den Einkauf.</w:t>
      </w:r>
    </w:p>
    <w:p>
      <w:pPr>
        <w:tabs>
          <w:tab w:pos="340" w:val="left"/>
        </w:tabs>
        <w:ind w:left="340" w:hanging="340"/>
      </w:pPr>
      <w:r>
        <w:rPr>
          <w:b/>
          <w:color w:val="8C5A2B"/>
        </w:rPr>
        <w:t>7.</w:t>
        <w:tab/>
      </w:r>
      <w:r>
        <w:rPr>
          <w:b/>
        </w:rPr>
        <w:t>Beim nächsten Einsatz nachsehen.</w:t>
      </w:r>
      <w:r>
        <w:t xml:space="preserve"> Die Wirksamkeit vereinbarter Maßnahmen prüfen Sie dort, wo die Leistung erbracht wird: im Zelt, im Saal, an der Tür der Agenturkräfte (3.13).</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Nach Gewicht auswählen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Angebot und Auftrag vergleichen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Recht zu prüfen klären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Wenige Fragen mitnehmen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Am Ort und an Dokumenten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Feststellungen richtig zuordnen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Beim nächsten Einsatz nachsehen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Steht jede Zusage, die wir Kunden machen, im Auftrag an den Dienstleister, der sie erbringt?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ein vertragliches Recht, die Erfüllung beim Dienstleister zu prüfen?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geregelt, welche Daten fremder Beschäftigter wir sehen und wozu?</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die Dienstleister unsere Merkblätter und Anlagen in der aktuellen Fassung?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unser Verfahren für kleine Betriebe in wenigen Stunden zu bewältigen?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Unterscheiden unsere Feststellungen zwischen Ursache im Haus und Ursache beim Dienstleister?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Halten wir fest, was wir beim Dienstleister nur beeinflussen können?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vereinbarte Maßnahmen beim nächsten Einsatz nach?</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Das Audit als Kontrolle des Lieferanten verstehen.</w:t>
      </w:r>
      <w:r>
        <w:t xml:space="preserve"> Der Befund liegt oft im eigenen Auftrag.</w:t>
      </w:r>
    </w:p>
    <w:p>
      <w:pPr>
        <w:tabs>
          <w:tab w:pos="340" w:val="left"/>
        </w:tabs>
        <w:ind w:left="340" w:hanging="340"/>
      </w:pPr>
      <w:r>
        <w:rPr>
          <w:color w:val="8C5A2B"/>
        </w:rPr>
        <w:t>–</w:t>
        <w:tab/>
      </w:r>
      <w:r>
        <w:rPr>
          <w:b/>
        </w:rPr>
        <w:t>Angebot und Auftrag getrennt schreiben und nie vergleichen.</w:t>
      </w:r>
      <w:r>
        <w:t xml:space="preserve"> Das Haus verspricht dann mehr, als es bestellt.</w:t>
      </w:r>
    </w:p>
    <w:p>
      <w:pPr>
        <w:tabs>
          <w:tab w:pos="340" w:val="left"/>
        </w:tabs>
        <w:ind w:left="340" w:hanging="340"/>
      </w:pPr>
      <w:r>
        <w:rPr>
          <w:color w:val="8C5A2B"/>
        </w:rPr>
        <w:t>–</w:t>
        <w:tab/>
      </w:r>
      <w:r>
        <w:rPr>
          <w:b/>
        </w:rPr>
        <w:t>Ohne Prüfrecht einkaufen.</w:t>
      </w:r>
      <w:r>
        <w:t xml:space="preserve"> Ob man hineinsehen darf, hängt dann von der Laune des Lieferanten ab.</w:t>
      </w:r>
    </w:p>
    <w:p>
      <w:pPr>
        <w:tabs>
          <w:tab w:pos="340" w:val="left"/>
        </w:tabs>
        <w:ind w:left="340" w:hanging="340"/>
      </w:pPr>
      <w:r>
        <w:rPr>
          <w:color w:val="8C5A2B"/>
        </w:rPr>
        <w:t>–</w:t>
        <w:tab/>
      </w:r>
      <w:r>
        <w:rPr>
          <w:b/>
        </w:rPr>
        <w:t>Vierzig Fragen für vierzehn Mitarbeitende mitbringen.</w:t>
      </w:r>
      <w:r>
        <w:t xml:space="preserve"> Der Betrieb verliert einen Tag, und das Haus erfährt wenig.</w:t>
      </w:r>
    </w:p>
    <w:p>
      <w:pPr>
        <w:tabs>
          <w:tab w:pos="340" w:val="left"/>
        </w:tabs>
        <w:ind w:left="340" w:hanging="340"/>
      </w:pPr>
      <w:r>
        <w:rPr>
          <w:color w:val="8C5A2B"/>
        </w:rPr>
        <w:t>–</w:t>
        <w:tab/>
      </w:r>
      <w:r>
        <w:rPr>
          <w:b/>
        </w:rPr>
        <w:t>Prüfen, was der Behörde gehört.</w:t>
      </w:r>
      <w:r>
        <w:t xml:space="preserve"> Hygiene, Löhne und Geschäfte mit anderen Kunden sind nicht Gegenstand des Audits.</w:t>
      </w:r>
    </w:p>
    <w:p>
      <w:pPr>
        <w:tabs>
          <w:tab w:pos="340" w:val="left"/>
        </w:tabs>
        <w:ind w:left="340" w:hanging="340"/>
      </w:pPr>
      <w:r>
        <w:rPr>
          <w:color w:val="8C5A2B"/>
        </w:rPr>
        <w:t>–</w:t>
        <w:tab/>
      </w:r>
      <w:r>
        <w:rPr>
          <w:b/>
        </w:rPr>
        <w:t>Ausschließen, was man verkauft.</w:t>
      </w:r>
      <w:r>
        <w:t xml:space="preserve"> Eine Leistung, die das Haus anbietet, bleibt an der Schnittstelle Teil seines Systems.</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Interne Auditorin: Vorbereitung 2, Fernaudit Agentur 1,5, Besuch Caterer mit Fahrt 3, Bericht 2</w:t>
            </w:r>
          </w:p>
        </w:tc>
        <w:tc>
          <w:tcPr>
            <w:tcW w:type="dxa" w:w="1474"/>
          </w:tcPr>
          <w:p>
            <w:pPr>
              <w:spacing w:after="0" w:before="0"/>
            </w:pPr>
            <w:r/>
            <w:r>
              <w:rPr>
                <w:b w:val="0"/>
                <w:i w:val="0"/>
                <w:color w:val="1A1A1A"/>
                <w:sz w:val="18"/>
              </w:rPr>
              <w:t>8,5 Stunden</w:t>
            </w:r>
          </w:p>
        </w:tc>
        <w:tc>
          <w:tcPr>
            <w:tcW w:type="dxa" w:w="3175"/>
          </w:tcPr>
          <w:p>
            <w:pPr>
              <w:spacing w:after="0" w:before="0"/>
            </w:pPr>
            <w:r/>
            <w:r>
              <w:rPr>
                <w:b w:val="0"/>
                <w:i w:val="0"/>
                <w:color w:val="1A1A1A"/>
                <w:sz w:val="18"/>
              </w:rPr>
              <w:t>Leiterin Reservierung im Kreuzaudit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Einkäufer: Besuch und neue Vertragsanlage</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Interne Kosten: 12,5 Stunden zu € 48</w:t>
            </w:r>
          </w:p>
        </w:tc>
        <w:tc>
          <w:tcPr>
            <w:tcW w:type="dxa" w:w="1474"/>
          </w:tcPr>
          <w:p>
            <w:pPr>
              <w:spacing w:after="0" w:before="0"/>
            </w:pPr>
            <w:r/>
            <w:r>
              <w:rPr>
                <w:b w:val="0"/>
                <w:i w:val="0"/>
                <w:color w:val="1A1A1A"/>
                <w:sz w:val="18"/>
              </w:rPr>
              <w:t>€ 600</w:t>
            </w:r>
          </w:p>
        </w:tc>
        <w:tc>
          <w:tcPr>
            <w:tcW w:type="dxa" w:w="3175"/>
          </w:tcPr>
          <w:p>
            <w:pPr>
              <w:spacing w:after="0" w:before="0"/>
            </w:pPr>
            <w:r/>
            <w:r>
              <w:rPr>
                <w:b w:val="0"/>
                <w:i w:val="0"/>
                <w:color w:val="1A1A1A"/>
                <w:sz w:val="18"/>
              </w:rPr>
              <w:t>Auditorin und Einkäufer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Zeit beim Caterer und bei der Agentur</w:t>
            </w:r>
          </w:p>
        </w:tc>
        <w:tc>
          <w:tcPr>
            <w:tcW w:type="dxa" w:w="1474"/>
            <w:shd w:val="clear" w:color="auto" w:fill="F3EFE6"/>
          </w:tcPr>
          <w:p>
            <w:pPr>
              <w:spacing w:after="0" w:before="0"/>
            </w:pPr>
            <w:r/>
            <w:r>
              <w:rPr>
                <w:b w:val="0"/>
                <w:i w:val="0"/>
                <w:color w:val="1A1A1A"/>
                <w:sz w:val="18"/>
              </w:rPr>
              <w:t>3,5 Stunden</w:t>
            </w:r>
          </w:p>
        </w:tc>
        <w:tc>
          <w:tcPr>
            <w:tcW w:type="dxa" w:w="3175"/>
            <w:shd w:val="clear" w:color="auto" w:fill="F3EFE6"/>
          </w:tcPr>
          <w:p>
            <w:pPr>
              <w:spacing w:after="0" w:before="0"/>
            </w:pPr>
            <w:r/>
            <w:r>
              <w:rPr>
                <w:b w:val="0"/>
                <w:i w:val="0"/>
                <w:color w:val="1A1A1A"/>
                <w:sz w:val="18"/>
              </w:rPr>
              <w:t>Zeit der Dienstleister, nicht des Hauses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Waage und zusätzliche Tonne im Zelt</w:t>
            </w:r>
          </w:p>
        </w:tc>
        <w:tc>
          <w:tcPr>
            <w:tcW w:type="dxa" w:w="1474"/>
          </w:tcPr>
          <w:p>
            <w:pPr>
              <w:spacing w:after="0" w:before="0"/>
            </w:pPr>
            <w:r/>
            <w:r>
              <w:rPr>
                <w:b w:val="0"/>
                <w:i w:val="0"/>
                <w:color w:val="1A1A1A"/>
                <w:sz w:val="18"/>
              </w:rPr>
              <w:t>€ 0</w:t>
            </w:r>
          </w:p>
        </w:tc>
        <w:tc>
          <w:tcPr>
            <w:tcW w:type="dxa" w:w="3175"/>
          </w:tcPr>
          <w:p>
            <w:pPr>
              <w:spacing w:after="0" w:before="0"/>
            </w:pPr>
            <w:r/>
            <w:r>
              <w:rPr>
                <w:b w:val="0"/>
                <w:i w:val="0"/>
                <w:color w:val="1A1A1A"/>
                <w:sz w:val="18"/>
              </w:rPr>
              <w:t>aus der Spülküche des Hauses geliehen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des Sommerfests: 400 Gäste zu € 115</w:t>
            </w:r>
          </w:p>
        </w:tc>
        <w:tc>
          <w:tcPr>
            <w:tcW w:type="dxa" w:w="1474"/>
            <w:shd w:val="clear" w:color="auto" w:fill="F3EFE6"/>
          </w:tcPr>
          <w:p>
            <w:pPr>
              <w:spacing w:after="0" w:before="0"/>
            </w:pPr>
            <w:r/>
            <w:r>
              <w:rPr>
                <w:b w:val="0"/>
                <w:i w:val="0"/>
                <w:color w:val="1A1A1A"/>
                <w:sz w:val="18"/>
              </w:rPr>
              <w:t>€ 46.000</w:t>
            </w:r>
          </w:p>
        </w:tc>
        <w:tc>
          <w:tcPr>
            <w:tcW w:type="dxa" w:w="3175"/>
            <w:shd w:val="clear" w:color="auto" w:fill="F3EFE6"/>
          </w:tcPr>
          <w:p>
            <w:pPr>
              <w:spacing w:after="0" w:before="0"/>
            </w:pPr>
            <w:r/>
            <w:r>
              <w:rPr>
                <w:b w:val="0"/>
                <w:i w:val="0"/>
                <w:color w:val="1A1A1A"/>
                <w:sz w:val="18"/>
              </w:rPr>
              <w:t>was mit der Zusage im Angebot verkauft war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letzte Zeile ist Umsatz und nicht Gewinn. Sie zeigt nur, welches Geschäft an einer Zusage hing, die ohne den Besuch in Beuel am Samstag nicht eingehalten worden wäre. Die Stunden der Dienstleister stehen getrennt, weil sie den Betrieben fehlen, nicht dem Haus.</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Kriterien für Auswahl und Bewertung bestimmen und anwenden (8.3)</w:t>
            </w:r>
          </w:p>
        </w:tc>
        <w:tc>
          <w:tcPr>
            <w:tcW w:type="dxa" w:w="3175"/>
          </w:tcPr>
          <w:p>
            <w:pPr>
              <w:spacing w:after="0" w:before="0"/>
            </w:pPr>
            <w:r/>
            <w:r>
              <w:rPr>
                <w:b w:val="0"/>
                <w:i w:val="0"/>
                <w:color w:val="1A1A1A"/>
                <w:sz w:val="18"/>
              </w:rPr>
              <w:t>Kriterienblatt je Lieferantengruppe; Bewertung nach dem Audit</w:t>
            </w:r>
          </w:p>
        </w:tc>
        <w:tc>
          <w:tcPr>
            <w:tcW w:type="dxa" w:w="3175"/>
          </w:tcPr>
          <w:p>
            <w:pPr>
              <w:spacing w:after="0" w:before="0"/>
            </w:pPr>
            <w:r/>
            <w:r>
              <w:rPr>
                <w:b w:val="0"/>
                <w:i w:val="0"/>
                <w:color w:val="1A1A1A"/>
                <w:sz w:val="18"/>
              </w:rPr>
              <w:t>Methode: sechs Fragen auf einer Seite</w:t>
            </w:r>
          </w:p>
        </w:tc>
      </w:tr>
      <w:tr>
        <w:trPr>
          <w:cantSplit w:val="true"/>
        </w:trPr>
        <w:tc>
          <w:tcPr>
            <w:tcW w:type="dxa" w:w="3288"/>
            <w:shd w:val="clear" w:color="auto" w:fill="F3EFE6"/>
          </w:tcPr>
          <w:p>
            <w:pPr>
              <w:spacing w:after="0" w:before="0"/>
            </w:pPr>
            <w:r/>
            <w:r>
              <w:rPr>
                <w:b w:val="0"/>
                <w:i w:val="0"/>
                <w:color w:val="1A1A1A"/>
                <w:sz w:val="18"/>
              </w:rPr>
              <w:t>Anforderungen in den Beschaffungsunterlagen (8.3)</w:t>
            </w:r>
          </w:p>
        </w:tc>
        <w:tc>
          <w:tcPr>
            <w:tcW w:type="dxa" w:w="3175"/>
            <w:shd w:val="clear" w:color="auto" w:fill="F3EFE6"/>
          </w:tcPr>
          <w:p>
            <w:pPr>
              <w:spacing w:after="0" w:before="0"/>
            </w:pPr>
            <w:r/>
            <w:r>
              <w:rPr>
                <w:b w:val="0"/>
                <w:i w:val="0"/>
                <w:color w:val="1A1A1A"/>
                <w:sz w:val="18"/>
              </w:rPr>
              <w:t>Anlage zum Cateringvertrag mit allen Zusagen an Kunden</w:t>
            </w:r>
          </w:p>
        </w:tc>
        <w:tc>
          <w:tcPr>
            <w:tcW w:type="dxa" w:w="3175"/>
            <w:shd w:val="clear" w:color="auto" w:fill="F3EFE6"/>
          </w:tcPr>
          <w:p>
            <w:pPr>
              <w:spacing w:after="0" w:before="0"/>
            </w:pPr>
            <w:r/>
            <w:r>
              <w:rPr>
                <w:b w:val="0"/>
                <w:i w:val="0"/>
                <w:color w:val="1A1A1A"/>
                <w:sz w:val="18"/>
              </w:rPr>
              <w:t>Methode: Angebot und Auftrag vor jeder Außenveranstaltung vergleichen</w:t>
            </w:r>
          </w:p>
        </w:tc>
      </w:tr>
      <w:tr>
        <w:trPr>
          <w:cantSplit w:val="true"/>
        </w:trPr>
        <w:tc>
          <w:tcPr>
            <w:tcW w:type="dxa" w:w="3288"/>
          </w:tcPr>
          <w:p>
            <w:pPr>
              <w:spacing w:after="0" w:before="0"/>
            </w:pPr>
            <w:r/>
            <w:r>
              <w:rPr>
                <w:b w:val="0"/>
                <w:i w:val="0"/>
                <w:color w:val="1A1A1A"/>
                <w:sz w:val="18"/>
              </w:rPr>
              <w:t>Extern bereitgestellte Prozesse steuern (8.1)</w:t>
            </w:r>
          </w:p>
        </w:tc>
        <w:tc>
          <w:tcPr>
            <w:tcW w:type="dxa" w:w="3175"/>
          </w:tcPr>
          <w:p>
            <w:pPr>
              <w:spacing w:after="0" w:before="0"/>
            </w:pPr>
            <w:r/>
            <w:r>
              <w:rPr>
                <w:b w:val="0"/>
                <w:i w:val="0"/>
                <w:color w:val="1A1A1A"/>
                <w:sz w:val="18"/>
              </w:rPr>
              <w:t>Prüfrecht im Vertrag; aktuelles Merkblatt bei der Agentur</w:t>
            </w:r>
          </w:p>
        </w:tc>
        <w:tc>
          <w:tcPr>
            <w:tcW w:type="dxa" w:w="3175"/>
          </w:tcPr>
          <w:p>
            <w:pPr>
              <w:spacing w:after="0" w:before="0"/>
            </w:pPr>
            <w:r/>
            <w:r>
              <w:rPr>
                <w:b w:val="0"/>
                <w:i w:val="0"/>
                <w:color w:val="1A1A1A"/>
                <w:sz w:val="18"/>
              </w:rPr>
              <w:t>Methode: Lenkung von Dokumenten, die außer Haus verwendet werden</w:t>
            </w:r>
          </w:p>
        </w:tc>
      </w:tr>
      <w:tr>
        <w:trPr>
          <w:cantSplit w:val="true"/>
        </w:trPr>
        <w:tc>
          <w:tcPr>
            <w:tcW w:type="dxa" w:w="3288"/>
            <w:shd w:val="clear" w:color="auto" w:fill="F3EFE6"/>
          </w:tcPr>
          <w:p>
            <w:pPr>
              <w:spacing w:after="0" w:before="0"/>
            </w:pPr>
            <w:r/>
            <w:r>
              <w:rPr>
                <w:b w:val="0"/>
                <w:i w:val="0"/>
                <w:color w:val="1A1A1A"/>
                <w:sz w:val="18"/>
              </w:rPr>
              <w:t>Beeinflussbare Themen berücksichtigen (6.1.2)</w:t>
            </w:r>
          </w:p>
        </w:tc>
        <w:tc>
          <w:tcPr>
            <w:tcW w:type="dxa" w:w="3175"/>
            <w:shd w:val="clear" w:color="auto" w:fill="F3EFE6"/>
          </w:tcPr>
          <w:p>
            <w:pPr>
              <w:spacing w:after="0" w:before="0"/>
            </w:pPr>
            <w:r/>
            <w:r>
              <w:rPr>
                <w:b w:val="0"/>
                <w:i w:val="0"/>
                <w:color w:val="1A1A1A"/>
                <w:sz w:val="18"/>
              </w:rPr>
              <w:t>Themenregister mit Schnittstelle zum Caterer</w:t>
            </w:r>
          </w:p>
        </w:tc>
        <w:tc>
          <w:tcPr>
            <w:tcW w:type="dxa" w:w="3175"/>
            <w:shd w:val="clear" w:color="auto" w:fill="F3EFE6"/>
          </w:tcPr>
          <w:p>
            <w:pPr>
              <w:spacing w:after="0" w:before="0"/>
            </w:pPr>
            <w:r/>
            <w:r>
              <w:rPr>
                <w:b w:val="0"/>
                <w:i w:val="0"/>
                <w:color w:val="1A1A1A"/>
                <w:sz w:val="18"/>
              </w:rPr>
              <w:t>Hinweise an den Einkauf für die nächste Vergabe</w:t>
            </w:r>
          </w:p>
        </w:tc>
      </w:tr>
      <w:tr>
        <w:trPr>
          <w:cantSplit w:val="true"/>
        </w:trPr>
        <w:tc>
          <w:tcPr>
            <w:tcW w:type="dxa" w:w="3288"/>
          </w:tcPr>
          <w:p>
            <w:pPr>
              <w:spacing w:after="0" w:before="0"/>
            </w:pPr>
            <w:r/>
            <w:r>
              <w:rPr>
                <w:b w:val="0"/>
                <w:i w:val="0"/>
                <w:color w:val="1A1A1A"/>
                <w:sz w:val="18"/>
              </w:rPr>
              <w:t>Verfahren für kleine Unternehmen handhabbar (8.3)</w:t>
            </w:r>
          </w:p>
        </w:tc>
        <w:tc>
          <w:tcPr>
            <w:tcW w:type="dxa" w:w="3175"/>
          </w:tcPr>
          <w:p>
            <w:pPr>
              <w:spacing w:after="0" w:before="0"/>
            </w:pPr>
            <w:r/>
            <w:r>
              <w:rPr>
                <w:b w:val="0"/>
                <w:i w:val="0"/>
                <w:color w:val="1A1A1A"/>
                <w:sz w:val="18"/>
              </w:rPr>
              <w:t>Audit beim Caterer in zwei Stunden</w:t>
            </w:r>
          </w:p>
        </w:tc>
        <w:tc>
          <w:tcPr>
            <w:tcW w:type="dxa" w:w="3175"/>
          </w:tcPr>
          <w:p>
            <w:pPr>
              <w:spacing w:after="0" w:before="0"/>
            </w:pPr>
            <w:r/>
            <w:r>
              <w:rPr>
                <w:b w:val="0"/>
                <w:i w:val="0"/>
                <w:color w:val="1A1A1A"/>
                <w:sz w:val="18"/>
              </w:rPr>
              <w:t>B.7: Partnerschaft statt Abhaken; B.9: Mittel der Überwachung</w:t>
            </w:r>
          </w:p>
        </w:tc>
      </w:tr>
      <w:tr>
        <w:trPr>
          <w:cantSplit w:val="true"/>
        </w:trPr>
        <w:tc>
          <w:tcPr>
            <w:tcW w:type="dxa" w:w="3288"/>
            <w:shd w:val="clear" w:color="auto" w:fill="F3EFE6"/>
          </w:tcPr>
          <w:p>
            <w:pPr>
              <w:spacing w:after="0" w:before="0"/>
            </w:pPr>
            <w:r/>
            <w:r>
              <w:rPr>
                <w:b w:val="0"/>
                <w:i w:val="0"/>
                <w:color w:val="1A1A1A"/>
                <w:sz w:val="18"/>
              </w:rPr>
              <w:t>Dokumentierte Information (8.3)</w:t>
            </w:r>
          </w:p>
        </w:tc>
        <w:tc>
          <w:tcPr>
            <w:tcW w:type="dxa" w:w="3175"/>
            <w:shd w:val="clear" w:color="auto" w:fill="F3EFE6"/>
          </w:tcPr>
          <w:p>
            <w:pPr>
              <w:spacing w:after="0" w:before="0"/>
            </w:pPr>
            <w:r/>
            <w:r>
              <w:rPr>
                <w:b w:val="0"/>
                <w:i w:val="0"/>
                <w:color w:val="1A1A1A"/>
                <w:sz w:val="18"/>
              </w:rPr>
              <w:t>Auditnotiz je Lieferant mit Datum, Nachweis, Ergebnis</w:t>
            </w:r>
          </w:p>
        </w:tc>
        <w:tc>
          <w:tcPr>
            <w:tcW w:type="dxa" w:w="3175"/>
            <w:shd w:val="clear" w:color="auto" w:fill="F3EFE6"/>
          </w:tcPr>
          <w:p>
            <w:pPr>
              <w:spacing w:after="0" w:before="0"/>
            </w:pPr>
            <w:r/>
            <w:r>
              <w:rPr>
                <w:b w:val="0"/>
                <w:i w:val="0"/>
                <w:color w:val="1A1A1A"/>
                <w:sz w:val="18"/>
              </w:rPr>
              <w:t>ISO 19011:2026: Programm nach Risiken bemessen; Fernauditmethoden</w:t>
            </w:r>
          </w:p>
        </w:tc>
      </w:tr>
    </w:tbl>
    <w:p>
      <w:pPr>
        <w:spacing w:after="40"/>
      </w:pPr>
    </w:p>
    <w:p>
      <w:pPr>
        <w:pStyle w:val="Heading2"/>
      </w:pPr>
      <w:r>
        <w:t>DACH-Anker: was das Recht im Lieferantenaudit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Leihkräfte im Haus</w:t>
            </w:r>
          </w:p>
        </w:tc>
        <w:tc>
          <w:tcPr>
            <w:tcW w:type="dxa" w:w="2721"/>
          </w:tcPr>
          <w:p>
            <w:pPr>
              <w:spacing w:after="0" w:before="0"/>
            </w:pPr>
            <w:r/>
            <w:r>
              <w:rPr>
                <w:b w:val="0"/>
                <w:i w:val="0"/>
                <w:color w:val="1A1A1A"/>
                <w:sz w:val="17"/>
              </w:rPr>
              <w:t>Arbeitsschutzpflichten auch beim Entleiher (§ 11 Abs. 6 AÜG)</w:t>
            </w:r>
          </w:p>
        </w:tc>
        <w:tc>
          <w:tcPr>
            <w:tcW w:type="dxa" w:w="2721"/>
          </w:tcPr>
          <w:p>
            <w:pPr>
              <w:spacing w:after="0" w:before="0"/>
            </w:pPr>
            <w:r/>
            <w:r>
              <w:rPr>
                <w:b w:val="0"/>
                <w:i w:val="0"/>
                <w:color w:val="1A1A1A"/>
                <w:sz w:val="17"/>
              </w:rPr>
              <w:t>Beschäftiger gilt als Arbeitgeber für den Arbeitnehmerschutz (§ 6 Abs. 1 AÜG)</w:t>
            </w:r>
          </w:p>
        </w:tc>
        <w:tc>
          <w:tcPr>
            <w:tcW w:type="dxa" w:w="2721"/>
          </w:tcPr>
          <w:p>
            <w:pPr>
              <w:spacing w:after="0" w:before="0"/>
            </w:pPr>
            <w:r/>
            <w:r>
              <w:rPr>
                <w:b w:val="0"/>
                <w:i w:val="0"/>
                <w:color w:val="1A1A1A"/>
                <w:sz w:val="17"/>
              </w:rPr>
              <w:t>Pflichten zur Arbeitssicherheit wie gegenüber eigenen Arbeitnehmern (Art. 10 VUV)</w:t>
            </w:r>
          </w:p>
        </w:tc>
      </w:tr>
      <w:tr>
        <w:trPr>
          <w:cantSplit w:val="true"/>
        </w:trPr>
        <w:tc>
          <w:tcPr>
            <w:tcW w:type="dxa" w:w="1474"/>
            <w:shd w:val="clear" w:color="auto" w:fill="F3EFE6"/>
          </w:tcPr>
          <w:p>
            <w:pPr>
              <w:spacing w:after="0" w:before="0"/>
            </w:pPr>
            <w:r/>
            <w:r>
              <w:rPr>
                <w:b w:val="0"/>
                <w:i w:val="0"/>
                <w:color w:val="1A1A1A"/>
                <w:sz w:val="17"/>
              </w:rPr>
              <w:t>Unterweisung vor dem Einsatz</w:t>
            </w:r>
          </w:p>
        </w:tc>
        <w:tc>
          <w:tcPr>
            <w:tcW w:type="dxa" w:w="2721"/>
            <w:shd w:val="clear" w:color="auto" w:fill="F3EFE6"/>
          </w:tcPr>
          <w:p>
            <w:pPr>
              <w:spacing w:after="0" w:before="0"/>
            </w:pPr>
            <w:r/>
            <w:r>
              <w:rPr>
                <w:b w:val="0"/>
                <w:i w:val="0"/>
                <w:color w:val="1A1A1A"/>
                <w:sz w:val="17"/>
              </w:rPr>
              <w:t>durch den Entleiher (§ 12 Abs. 2 ArbSchG)</w:t>
            </w:r>
          </w:p>
        </w:tc>
        <w:tc>
          <w:tcPr>
            <w:tcW w:type="dxa" w:w="2721"/>
            <w:shd w:val="clear" w:color="auto" w:fill="F3EFE6"/>
          </w:tcPr>
          <w:p>
            <w:pPr>
              <w:spacing w:after="0" w:before="0"/>
            </w:pPr>
            <w:r/>
            <w:r>
              <w:rPr>
                <w:b w:val="0"/>
                <w:i w:val="0"/>
                <w:color w:val="1A1A1A"/>
                <w:sz w:val="17"/>
              </w:rPr>
              <w:t>nachweislich, verständlich (§ 14 ASchG)</w:t>
            </w:r>
          </w:p>
        </w:tc>
        <w:tc>
          <w:tcPr>
            <w:tcW w:type="dxa" w:w="2721"/>
            <w:shd w:val="clear" w:color="auto" w:fill="F3EFE6"/>
          </w:tcPr>
          <w:p>
            <w:pPr>
              <w:spacing w:after="0" w:before="0"/>
            </w:pPr>
            <w:r/>
            <w:r>
              <w:rPr>
                <w:b w:val="0"/>
                <w:i w:val="0"/>
                <w:color w:val="1A1A1A"/>
                <w:sz w:val="17"/>
              </w:rPr>
              <w:t>Information und Anleitung (Art. 6 Abs. 1 VUV)</w:t>
            </w:r>
          </w:p>
        </w:tc>
      </w:tr>
      <w:tr>
        <w:trPr>
          <w:cantSplit w:val="true"/>
        </w:trPr>
        <w:tc>
          <w:tcPr>
            <w:tcW w:type="dxa" w:w="1474"/>
          </w:tcPr>
          <w:p>
            <w:pPr>
              <w:spacing w:after="0" w:before="0"/>
            </w:pPr>
            <w:r/>
            <w:r>
              <w:rPr>
                <w:b w:val="0"/>
                <w:i w:val="0"/>
                <w:color w:val="1A1A1A"/>
                <w:sz w:val="17"/>
              </w:rPr>
              <w:t>Einsicht in Daten fremder Beschäftigter</w:t>
            </w:r>
          </w:p>
        </w:tc>
        <w:tc>
          <w:tcPr>
            <w:tcW w:type="dxa" w:w="2721"/>
          </w:tcPr>
          <w:p>
            <w:pPr>
              <w:spacing w:after="0" w:before="0"/>
            </w:pPr>
            <w:r/>
            <w:r>
              <w:rPr>
                <w:b w:val="0"/>
                <w:i w:val="0"/>
                <w:color w:val="1A1A1A"/>
                <w:sz w:val="17"/>
              </w:rPr>
              <w:t>DSGVO, Grundsatz der Datenminimierung</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w:t>
            </w:r>
          </w:p>
        </w:tc>
      </w:tr>
      <w:tr>
        <w:trPr>
          <w:cantSplit w:val="true"/>
        </w:trPr>
        <w:tc>
          <w:tcPr>
            <w:tcW w:type="dxa" w:w="1474"/>
            <w:shd w:val="clear" w:color="auto" w:fill="F3EFE6"/>
          </w:tcPr>
          <w:p>
            <w:pPr>
              <w:spacing w:after="0" w:before="0"/>
            </w:pPr>
            <w:r/>
            <w:r>
              <w:rPr>
                <w:b w:val="0"/>
                <w:i w:val="0"/>
                <w:color w:val="1A1A1A"/>
                <w:sz w:val="17"/>
              </w:rPr>
              <w:t>Sorgfalt in Lieferketten</w:t>
            </w:r>
          </w:p>
        </w:tc>
        <w:tc>
          <w:tcPr>
            <w:tcW w:type="dxa" w:w="2721"/>
            <w:shd w:val="clear" w:color="auto" w:fill="F3EFE6"/>
          </w:tcPr>
          <w:p>
            <w:pPr>
              <w:spacing w:after="0" w:before="0"/>
            </w:pPr>
            <w:r/>
            <w:r>
              <w:rPr>
                <w:b w:val="0"/>
                <w:i w:val="0"/>
                <w:color w:val="1A1A1A"/>
                <w:sz w:val="17"/>
              </w:rPr>
              <w:t>LkSG ab 1.000 Beschäftigten im Inland; Hotel meist als Lieferant betroffen</w:t>
            </w:r>
          </w:p>
        </w:tc>
        <w:tc>
          <w:tcPr>
            <w:tcW w:type="dxa" w:w="2721"/>
            <w:shd w:val="clear" w:color="auto" w:fill="F3EFE6"/>
          </w:tcPr>
          <w:p>
            <w:pPr>
              <w:spacing w:after="0" w:before="0"/>
            </w:pPr>
            <w:r/>
            <w:r>
              <w:rPr>
                <w:b w:val="0"/>
                <w:i w:val="0"/>
                <w:color w:val="1A1A1A"/>
                <w:sz w:val="17"/>
              </w:rPr>
              <w:t>EU-Richtlinie künftig für sehr große Unternehmen; Umsetzung bis Juli 2028</w:t>
            </w:r>
          </w:p>
        </w:tc>
        <w:tc>
          <w:tcPr>
            <w:tcW w:type="dxa" w:w="2721"/>
            <w:shd w:val="clear" w:color="auto" w:fill="F3EFE6"/>
          </w:tcPr>
          <w:p>
            <w:pPr>
              <w:spacing w:after="0" w:before="0"/>
            </w:pPr>
            <w:r/>
            <w:r>
              <w:rPr>
                <w:b w:val="0"/>
                <w:i w:val="0"/>
                <w:color w:val="1A1A1A"/>
                <w:sz w:val="17"/>
              </w:rPr>
              <w:t>Prüfpflicht zu Kinderarbeit (Art. 964j ff. OR), Ausnahmen für KMU (VSoTr)</w:t>
            </w:r>
          </w:p>
        </w:tc>
      </w:tr>
      <w:tr>
        <w:trPr>
          <w:cantSplit w:val="true"/>
        </w:trPr>
        <w:tc>
          <w:tcPr>
            <w:tcW w:type="dxa" w:w="1474"/>
          </w:tcPr>
          <w:p>
            <w:pPr>
              <w:spacing w:after="0" w:before="0"/>
            </w:pPr>
            <w:r/>
            <w:r>
              <w:rPr>
                <w:b w:val="0"/>
                <w:i w:val="0"/>
                <w:color w:val="1A1A1A"/>
                <w:sz w:val="17"/>
              </w:rPr>
              <w:t>Abfälle bei Außenveranstaltungen</w:t>
            </w:r>
          </w:p>
        </w:tc>
        <w:tc>
          <w:tcPr>
            <w:tcW w:type="dxa" w:w="2721"/>
          </w:tcPr>
          <w:p>
            <w:pPr>
              <w:spacing w:after="0" w:before="0"/>
            </w:pPr>
            <w:r/>
            <w:r>
              <w:rPr>
                <w:b w:val="0"/>
                <w:i w:val="0"/>
                <w:color w:val="1A1A1A"/>
                <w:sz w:val="17"/>
              </w:rPr>
              <w:t>Getrennthaltung durch Erzeuger und Besitzer, dokumentiert (§ 3 GewAbfV)</w:t>
            </w:r>
          </w:p>
        </w:tc>
        <w:tc>
          <w:tcPr>
            <w:tcW w:type="dxa" w:w="2721"/>
          </w:tcPr>
          <w:p>
            <w:pPr>
              <w:spacing w:after="0" w:before="0"/>
            </w:pPr>
            <w:r/>
            <w:r>
              <w:rPr>
                <w:b w:val="0"/>
                <w:i w:val="0"/>
                <w:color w:val="1A1A1A"/>
                <w:sz w:val="17"/>
              </w:rPr>
              <w:t>getrennte Bereitstellung biogener Abfälle (BGBl. Nr. 68/1992)</w:t>
            </w:r>
          </w:p>
        </w:tc>
        <w:tc>
          <w:tcPr>
            <w:tcW w:type="dxa" w:w="2721"/>
          </w:tcPr>
          <w:p>
            <w:pPr>
              <w:spacing w:after="0" w:before="0"/>
            </w:pPr>
            <w:r/>
            <w:r>
              <w:rPr>
                <w:b w:val="0"/>
                <w:i w:val="0"/>
                <w:color w:val="1A1A1A"/>
                <w:sz w:val="17"/>
              </w:rPr>
              <w:t>Vorgaben von Kanton und Gemeinde</w:t>
            </w:r>
          </w:p>
        </w:tc>
      </w:tr>
      <w:tr>
        <w:trPr>
          <w:cantSplit w:val="true"/>
        </w:trPr>
        <w:tc>
          <w:tcPr>
            <w:tcW w:type="dxa" w:w="1474"/>
            <w:shd w:val="clear" w:color="auto" w:fill="F3EFE6"/>
          </w:tcPr>
          <w:p>
            <w:pPr>
              <w:spacing w:after="0" w:before="0"/>
            </w:pPr>
            <w:r/>
            <w:r>
              <w:rPr>
                <w:b w:val="0"/>
                <w:i w:val="0"/>
                <w:color w:val="1A1A1A"/>
                <w:sz w:val="17"/>
              </w:rPr>
              <w:t>Zusagen im Angebot</w:t>
            </w:r>
          </w:p>
        </w:tc>
        <w:tc>
          <w:tcPr>
            <w:tcW w:type="dxa" w:w="2721"/>
            <w:shd w:val="clear" w:color="auto" w:fill="F3EFE6"/>
          </w:tcPr>
          <w:p>
            <w:pPr>
              <w:spacing w:after="0" w:before="0"/>
            </w:pPr>
            <w:r/>
            <w:r>
              <w:rPr>
                <w:b w:val="0"/>
                <w:i w:val="0"/>
                <w:color w:val="1A1A1A"/>
                <w:sz w:val="17"/>
              </w:rPr>
              <w:t>gegenüber Verbrauchern Regeln zu Umweltaussagen ab 27. September 2026; Irreführungsverbot immer (UWG)</w:t>
            </w:r>
          </w:p>
        </w:tc>
        <w:tc>
          <w:tcPr>
            <w:tcW w:type="dxa" w:w="2721"/>
            <w:shd w:val="clear" w:color="auto" w:fill="F3EFE6"/>
          </w:tcPr>
          <w:p>
            <w:pPr>
              <w:spacing w:after="0" w:before="0"/>
            </w:pPr>
            <w:r/>
            <w:r>
              <w:rPr>
                <w:b w:val="0"/>
                <w:i w:val="0"/>
                <w:color w:val="1A1A1A"/>
                <w:sz w:val="17"/>
              </w:rPr>
              <w:t>ebenso (BGBl. I Nr. 58/2026)</w:t>
            </w:r>
          </w:p>
        </w:tc>
        <w:tc>
          <w:tcPr>
            <w:tcW w:type="dxa" w:w="2721"/>
            <w:shd w:val="clear" w:color="auto" w:fill="F3EFE6"/>
          </w:tcPr>
          <w:p>
            <w:pPr>
              <w:spacing w:after="0" w:before="0"/>
            </w:pPr>
            <w:r/>
            <w:r>
              <w:rPr>
                <w:b w:val="0"/>
                <w:i w:val="0"/>
                <w:color w:val="1A1A1A"/>
                <w:sz w:val="17"/>
              </w:rPr>
              <w:t>Irreführungsverbot (Art. 3 Abs. 1 lit. b UWG)</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3.14 — Einen Dienstleister auditieren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