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color w:val="8C5A2B"/>
          <w:sz w:val="18"/>
        </w:rPr>
        <w:t>ARBEITSMATERIAL 3.15</w:t>
      </w:r>
    </w:p>
    <w:p>
      <w:pPr>
        <w:pStyle w:val="Heading1"/>
      </w:pPr>
      <w:r>
        <w:t>Eine Auditkultur aufbauen</w:t>
      </w:r>
    </w:p>
    <w:p>
      <w:pPr>
        <w:spacing w:after="0"/>
      </w:pPr>
      <w:r>
        <w:rPr>
          <w:b w:val="0"/>
          <w:i/>
          <w:color w:val="5A5A5A"/>
        </w:rPr>
        <w:t>Abschnitt 3.15 · Eine Auditkultur im Veranstaltungsgeschäft</w:t>
      </w:r>
    </w:p>
    <w:p>
      <w:pPr>
        <w:spacing w:after="160"/>
      </w:pPr>
      <w:r>
        <w:rPr>
          <w:b w:val="0"/>
          <w:i w:val="0"/>
          <w:color w:val="5A5A5A"/>
          <w:sz w:val="18"/>
        </w:rPr>
        <w:t>Modellfall im Buch: Bregenz</w:t>
      </w:r>
    </w:p>
    <w:tbl>
      <w:tblPr>
        <w:tblW w:type="auto" w:w="0"/>
        <w:tblLook w:firstColumn="1" w:firstRow="1" w:lastColumn="0" w:lastRow="0" w:noHBand="0" w:noVBand="1" w:val="04A0"/>
        <w:tblCellMar>
          <w:top w:w="120" w:type="dxa"/>
          <w:left w:w="160" w:type="dxa"/>
          <w:bottom w:w="120" w:type="dxa"/>
          <w:right w:w="160" w:type="dxa"/>
        </w:tblCellMar>
      </w:tblPr>
      <w:tblGrid>
        <w:gridCol w:w="9638"/>
      </w:tblGrid>
      <w:tr>
        <w:tc>
          <w:tcPr>
            <w:tcW w:type="dxa" w:w="9638"/>
            <w:shd w:val="clear" w:color="auto" w:fill="EFE7DC"/>
          </w:tcPr>
          <w:p>
            <w:r/>
            <w:r>
              <w:rPr>
                <w:b/>
                <w:color w:val="8C5A2B"/>
                <w:sz w:val="18"/>
              </w:rPr>
              <w:t>LEITFRAGE</w:t>
              <w:br/>
            </w:r>
            <w:r>
              <w:rPr>
                <w:sz w:val="21"/>
              </w:rPr>
              <w:t>Wenn ein interner Auditor in Ihrem Haus einen Befund schreibt, der die Direktion betrifft: Wer liest ihn zuerst, und was geschieht danach mit dem, der ihn geschrieben hat? Und meldet Ihr Nachtportier, was er nach einem Fest sieht, auch wenn ihn niemand fragt?</w:t>
            </w:r>
          </w:p>
        </w:tc>
      </w:tr>
    </w:tbl>
    <w:p>
      <w:pPr>
        <w:spacing w:after="0"/>
      </w:pPr>
    </w:p>
    <w:p>
      <w:r>
        <w:rPr>
          <w:sz w:val="18"/>
        </w:rPr>
        <w:t>Dieses Blatt gibt das Arbeitsmaterial des Abschnitts in bearbeitbarer Form wieder. Die Texte stammen aus dem Buch; die leeren Spalten sind für die Angaben des eigenen Hauses bestimmt.</w:t>
      </w:r>
    </w:p>
    <w:p>
      <w:pPr>
        <w:pStyle w:val="Heading2"/>
      </w:pPr>
      <w:r>
        <w:t>Das Werkzeug: Wer im Haus am See was prüft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13"/>
        <w:gridCol w:w="3213"/>
        <w:gridCol w:w="3213"/>
      </w:tblGrid>
      <w:tr>
        <w:trPr>
          <w:cantSplit w:val="true"/>
          <w:tblHeader w:val="true"/>
        </w:trPr>
        <w:tc>
          <w:tcPr>
            <w:tcW w:type="dxa" w:w="3213"/>
            <w:shd w:val="clear" w:color="auto" w:fill="8C5A2B"/>
          </w:tcPr>
          <w:p>
            <w:pPr>
              <w:spacing w:after="0" w:before="0"/>
            </w:pPr>
            <w:r/>
            <w:r>
              <w:rPr>
                <w:b/>
                <w:i w:val="0"/>
                <w:color w:val="FFFFFF"/>
                <w:sz w:val="18"/>
              </w:rPr>
              <w:t>Bereich</w:t>
            </w:r>
          </w:p>
        </w:tc>
        <w:tc>
          <w:tcPr>
            <w:tcW w:type="dxa" w:w="3213"/>
            <w:shd w:val="clear" w:color="auto" w:fill="8C5A2B"/>
          </w:tcPr>
          <w:p>
            <w:pPr>
              <w:spacing w:after="0" w:before="0"/>
            </w:pPr>
            <w:r/>
            <w:r>
              <w:rPr>
                <w:b/>
                <w:i w:val="0"/>
                <w:color w:val="FFFFFF"/>
                <w:sz w:val="18"/>
              </w:rPr>
              <w:t>Wer prüft</w:t>
            </w:r>
          </w:p>
        </w:tc>
        <w:tc>
          <w:tcPr>
            <w:tcW w:type="dxa" w:w="3213"/>
            <w:shd w:val="clear" w:color="auto" w:fill="8C5A2B"/>
          </w:tcPr>
          <w:p>
            <w:pPr>
              <w:spacing w:after="0" w:before="0"/>
            </w:pPr>
            <w:r/>
            <w:r>
              <w:rPr>
                <w:b/>
                <w:i w:val="0"/>
                <w:color w:val="FFFFFF"/>
                <w:sz w:val="18"/>
              </w:rPr>
              <w:t>Warum nicht die eigene Arbeit</w:t>
            </w:r>
          </w:p>
        </w:tc>
      </w:tr>
      <w:tr>
        <w:trPr>
          <w:cantSplit w:val="true"/>
        </w:trPr>
        <w:tc>
          <w:tcPr>
            <w:tcW w:type="dxa" w:w="3213"/>
          </w:tcPr>
          <w:p>
            <w:pPr>
              <w:spacing w:after="0" w:before="0"/>
            </w:pPr>
            <w:r/>
            <w:r>
              <w:rPr>
                <w:b w:val="0"/>
                <w:i w:val="0"/>
                <w:color w:val="1A1A1A"/>
                <w:sz w:val="18"/>
              </w:rPr>
              <w:t>Bankett und Küche, ohne Energie im Saal</w:t>
            </w:r>
          </w:p>
        </w:tc>
        <w:tc>
          <w:tcPr>
            <w:tcW w:type="dxa" w:w="3213"/>
          </w:tcPr>
          <w:p>
            <w:pPr>
              <w:spacing w:after="0" w:before="0"/>
            </w:pPr>
            <w:r/>
            <w:r>
              <w:rPr>
                <w:b w:val="0"/>
                <w:i w:val="0"/>
                <w:color w:val="1A1A1A"/>
                <w:sz w:val="18"/>
              </w:rPr>
              <w:t>Jakob Rüf, Haustechniker</w:t>
            </w:r>
          </w:p>
        </w:tc>
        <w:tc>
          <w:tcPr>
            <w:tcW w:type="dxa" w:w="3213"/>
          </w:tcPr>
          <w:p>
            <w:pPr>
              <w:spacing w:after="0" w:before="0"/>
            </w:pPr>
            <w:r/>
            <w:r>
              <w:rPr>
                <w:b w:val="0"/>
                <w:i w:val="0"/>
                <w:color w:val="1A1A1A"/>
                <w:sz w:val="18"/>
              </w:rPr>
              <w:t>er verantwortet Technik und Energie, nicht Bankett und Küche</w:t>
            </w:r>
          </w:p>
        </w:tc>
      </w:tr>
      <w:tr>
        <w:trPr>
          <w:cantSplit w:val="true"/>
        </w:trPr>
        <w:tc>
          <w:tcPr>
            <w:tcW w:type="dxa" w:w="3213"/>
            <w:shd w:val="clear" w:color="auto" w:fill="F3EFE6"/>
          </w:tcPr>
          <w:p>
            <w:pPr>
              <w:spacing w:after="0" w:before="0"/>
            </w:pPr>
            <w:r/>
            <w:r>
              <w:rPr>
                <w:b w:val="0"/>
                <w:i w:val="0"/>
                <w:color w:val="1A1A1A"/>
                <w:sz w:val="18"/>
              </w:rPr>
              <w:t>Technik, Energie im Saal, Anlieferung, Auswertung der Rundgangformulare</w:t>
            </w:r>
          </w:p>
        </w:tc>
        <w:tc>
          <w:tcPr>
            <w:tcW w:type="dxa" w:w="3213"/>
            <w:shd w:val="clear" w:color="auto" w:fill="F3EFE6"/>
          </w:tcPr>
          <w:p>
            <w:pPr>
              <w:spacing w:after="0" w:before="0"/>
            </w:pPr>
            <w:r/>
            <w:r>
              <w:rPr>
                <w:b w:val="0"/>
                <w:i w:val="0"/>
                <w:color w:val="1A1A1A"/>
                <w:sz w:val="18"/>
              </w:rPr>
              <w:t>Lea Fetz, Rezeptionistin</w:t>
            </w:r>
          </w:p>
        </w:tc>
        <w:tc>
          <w:tcPr>
            <w:tcW w:type="dxa" w:w="3213"/>
            <w:shd w:val="clear" w:color="auto" w:fill="F3EFE6"/>
          </w:tcPr>
          <w:p>
            <w:pPr>
              <w:spacing w:after="0" w:before="0"/>
            </w:pPr>
            <w:r/>
            <w:r>
              <w:rPr>
                <w:b w:val="0"/>
                <w:i w:val="0"/>
                <w:color w:val="1A1A1A"/>
                <w:sz w:val="18"/>
              </w:rPr>
              <w:t>sie hat in Technik und Hof keine Aufgabe</w:t>
            </w:r>
          </w:p>
        </w:tc>
      </w:tr>
      <w:tr>
        <w:trPr>
          <w:cantSplit w:val="true"/>
        </w:trPr>
        <w:tc>
          <w:tcPr>
            <w:tcW w:type="dxa" w:w="3213"/>
          </w:tcPr>
          <w:p>
            <w:pPr>
              <w:spacing w:after="0" w:before="0"/>
            </w:pPr>
            <w:r/>
            <w:r>
              <w:rPr>
                <w:b w:val="0"/>
                <w:i w:val="0"/>
                <w:color w:val="1A1A1A"/>
                <w:sz w:val="18"/>
              </w:rPr>
              <w:t>Rezeption und Nachtdienst</w:t>
            </w:r>
          </w:p>
        </w:tc>
        <w:tc>
          <w:tcPr>
            <w:tcW w:type="dxa" w:w="3213"/>
          </w:tcPr>
          <w:p>
            <w:pPr>
              <w:spacing w:after="0" w:before="0"/>
            </w:pPr>
            <w:r/>
            <w:r>
              <w:rPr>
                <w:b w:val="0"/>
                <w:i w:val="0"/>
                <w:color w:val="1A1A1A"/>
                <w:sz w:val="18"/>
              </w:rPr>
              <w:t>Jakob Rüf</w:t>
            </w:r>
          </w:p>
        </w:tc>
        <w:tc>
          <w:tcPr>
            <w:tcW w:type="dxa" w:w="3213"/>
          </w:tcPr>
          <w:p>
            <w:pPr>
              <w:spacing w:after="0" w:before="0"/>
            </w:pPr>
            <w:r/>
            <w:r>
              <w:rPr>
                <w:b w:val="0"/>
                <w:i w:val="0"/>
                <w:color w:val="1A1A1A"/>
                <w:sz w:val="18"/>
              </w:rPr>
              <w:t>Fetz arbeitet an der Rezeption und prüft sie nicht</w:t>
            </w:r>
          </w:p>
        </w:tc>
      </w:tr>
      <w:tr>
        <w:trPr>
          <w:cantSplit w:val="true"/>
        </w:trPr>
        <w:tc>
          <w:tcPr>
            <w:tcW w:type="dxa" w:w="3213"/>
            <w:shd w:val="clear" w:color="auto" w:fill="F3EFE6"/>
          </w:tcPr>
          <w:p>
            <w:pPr>
              <w:spacing w:after="0" w:before="0"/>
            </w:pPr>
            <w:r/>
            <w:r>
              <w:rPr>
                <w:b w:val="0"/>
                <w:i w:val="0"/>
                <w:color w:val="1A1A1A"/>
                <w:sz w:val="18"/>
              </w:rPr>
              <w:t>Managementbewertung und Auditprogramm</w:t>
            </w:r>
          </w:p>
        </w:tc>
        <w:tc>
          <w:tcPr>
            <w:tcW w:type="dxa" w:w="3213"/>
            <w:shd w:val="clear" w:color="auto" w:fill="F3EFE6"/>
          </w:tcPr>
          <w:p>
            <w:pPr>
              <w:spacing w:after="0" w:before="0"/>
            </w:pPr>
            <w:r/>
            <w:r>
              <w:rPr>
                <w:b w:val="0"/>
                <w:i w:val="0"/>
                <w:color w:val="1A1A1A"/>
                <w:sz w:val="18"/>
              </w:rPr>
              <w:t>Verena Natter, von außen</w:t>
            </w:r>
          </w:p>
        </w:tc>
        <w:tc>
          <w:tcPr>
            <w:tcW w:type="dxa" w:w="3213"/>
            <w:shd w:val="clear" w:color="auto" w:fill="F3EFE6"/>
          </w:tcPr>
          <w:p>
            <w:pPr>
              <w:spacing w:after="0" w:before="0"/>
            </w:pPr>
            <w:r/>
            <w:r>
              <w:rPr>
                <w:b w:val="0"/>
                <w:i w:val="0"/>
                <w:color w:val="1A1A1A"/>
                <w:sz w:val="18"/>
              </w:rPr>
              <w:t>im Haus ist niemand davon unabhängig</w:t>
            </w:r>
          </w:p>
        </w:tc>
      </w:tr>
      <w:tr>
        <w:trPr>
          <w:cantSplit w:val="true"/>
        </w:trPr>
        <w:tc>
          <w:tcPr>
            <w:tcW w:type="dxa" w:w="3213"/>
          </w:tcPr>
          <w:p>
            <w:pPr>
              <w:spacing w:after="0" w:before="0"/>
            </w:pPr>
            <w:r/>
            <w:r>
              <w:rPr>
                <w:b w:val="0"/>
                <w:i w:val="0"/>
                <w:color w:val="1A1A1A"/>
                <w:sz w:val="18"/>
              </w:rPr>
              <w:t>Kompetenz der beiden Auditoren</w:t>
            </w:r>
          </w:p>
        </w:tc>
        <w:tc>
          <w:tcPr>
            <w:tcW w:type="dxa" w:w="3213"/>
          </w:tcPr>
          <w:p>
            <w:pPr>
              <w:spacing w:after="0" w:before="0"/>
            </w:pPr>
            <w:r/>
            <w:r>
              <w:rPr>
                <w:b w:val="0"/>
                <w:i w:val="0"/>
                <w:color w:val="1A1A1A"/>
                <w:sz w:val="18"/>
              </w:rPr>
              <w:t>Verena Natter, Begleitung einmal im Jahr</w:t>
            </w:r>
          </w:p>
        </w:tc>
        <w:tc>
          <w:tcPr>
            <w:tcW w:type="dxa" w:w="3213"/>
          </w:tcPr>
          <w:p>
            <w:pPr>
              <w:spacing w:after="0" w:before="0"/>
            </w:pPr>
            <w:r/>
            <w:r>
              <w:rPr>
                <w:b w:val="0"/>
                <w:i w:val="0"/>
                <w:color w:val="1A1A1A"/>
                <w:sz w:val="18"/>
              </w:rPr>
              <w:t>die Auditoren bewerten sich nicht selbst</w:t>
            </w:r>
          </w:p>
        </w:tc>
      </w:tr>
    </w:tbl>
    <w:p>
      <w:pPr>
        <w:spacing w:after="40"/>
      </w:pPr>
    </w:p>
    <w:p>
      <w:pPr>
        <w:pStyle w:val="Heading2"/>
      </w:pPr>
      <w:r>
        <w:t>Praktische Anwendung: eine Auditkultur in sieben Schritten aufbauen</w:t>
      </w:r>
    </w:p>
    <w:p>
      <w:pPr>
        <w:tabs>
          <w:tab w:pos="340" w:val="left"/>
        </w:tabs>
        <w:ind w:left="340" w:hanging="340"/>
      </w:pPr>
      <w:r>
        <w:rPr>
          <w:b/>
          <w:color w:val="8C5A2B"/>
        </w:rPr>
        <w:t>1.</w:t>
        <w:tab/>
      </w:r>
      <w:r>
        <w:rPr>
          <w:b/>
        </w:rPr>
        <w:t>Den Auditplan nach der Regel der fremden Arbeit legen.</w:t>
      </w:r>
      <w:r>
        <w:t xml:space="preserve"> Jeder Bereich wird von jemandem geprüft, der ihn nicht verantwortet. Wo im Haus niemand unabhängig ist, kommt jemand von außen.</w:t>
      </w:r>
    </w:p>
    <w:p>
      <w:pPr>
        <w:tabs>
          <w:tab w:pos="340" w:val="left"/>
        </w:tabs>
        <w:ind w:left="340" w:hanging="340"/>
      </w:pPr>
      <w:r>
        <w:rPr>
          <w:b/>
          <w:color w:val="8C5A2B"/>
        </w:rPr>
        <w:t>2.</w:t>
        <w:tab/>
      </w:r>
      <w:r>
        <w:rPr>
          <w:b/>
        </w:rPr>
        <w:t>Spuren bis nach oben verfolgen.</w:t>
      </w:r>
      <w:r>
        <w:t xml:space="preserve"> Lassen Sie den Auditor einzelne Feste vom Formular bis in den Hof verfolgen. Wo die Spur bei einer Entscheidung der Leitung endet, wird auch diese geprüft.</w:t>
      </w:r>
    </w:p>
    <w:p>
      <w:pPr>
        <w:tabs>
          <w:tab w:pos="340" w:val="left"/>
        </w:tabs>
        <w:ind w:left="340" w:hanging="340"/>
      </w:pPr>
      <w:r>
        <w:rPr>
          <w:b/>
          <w:color w:val="8C5A2B"/>
        </w:rPr>
        <w:t>3.</w:t>
        <w:tab/>
      </w:r>
      <w:r>
        <w:rPr>
          <w:b/>
        </w:rPr>
        <w:t>Die erste Antwort der Leitung festlegen.</w:t>
      </w:r>
      <w:r>
        <w:t xml:space="preserve"> Vereinbaren Sie vor dem Audit, dass jeder Befund zuerst mit der Frage nach der Ursache beantwortet wird. Gilt das für die Leitung selbst, gilt es bald für alle.</w:t>
      </w:r>
    </w:p>
    <w:p>
      <w:pPr>
        <w:tabs>
          <w:tab w:pos="340" w:val="left"/>
        </w:tabs>
        <w:ind w:left="340" w:hanging="340"/>
      </w:pPr>
      <w:r>
        <w:rPr>
          <w:b/>
          <w:color w:val="8C5A2B"/>
        </w:rPr>
        <w:t>4.</w:t>
        <w:tab/>
      </w:r>
      <w:r>
        <w:rPr>
          <w:b/>
        </w:rPr>
        <w:t>Den Auditor nicht zum Berater machen.</w:t>
      </w:r>
      <w:r>
        <w:t xml:space="preserve"> Er stellt fest. Die Maßnahme legt das Haus fest, sonst prüft er im nächsten Jahr seinen eigenen Rat.</w:t>
      </w:r>
    </w:p>
    <w:p>
      <w:pPr>
        <w:tabs>
          <w:tab w:pos="340" w:val="left"/>
        </w:tabs>
        <w:ind w:left="340" w:hanging="340"/>
      </w:pPr>
      <w:r>
        <w:rPr>
          <w:b/>
          <w:color w:val="8C5A2B"/>
        </w:rPr>
        <w:t>5.</w:t>
        <w:tab/>
      </w:r>
      <w:r>
        <w:rPr>
          <w:b/>
        </w:rPr>
        <w:t>Jedem antworten, der meldet.</w:t>
      </w:r>
      <w:r>
        <w:t xml:space="preserve"> Wer etwas meldet oder erklärt, erfährt, was daraus geworden ist. Die Zusammenfassung des Audits geht an alle Beteiligten, ohne Namen.</w:t>
      </w:r>
    </w:p>
    <w:p>
      <w:pPr>
        <w:tabs>
          <w:tab w:pos="340" w:val="left"/>
        </w:tabs>
        <w:ind w:left="340" w:hanging="340"/>
      </w:pPr>
      <w:r>
        <w:rPr>
          <w:b/>
          <w:color w:val="8C5A2B"/>
        </w:rPr>
        <w:t>6.</w:t>
        <w:tab/>
      </w:r>
      <w:r>
        <w:rPr>
          <w:b/>
        </w:rPr>
        <w:t>Befunde bearbeiten, nicht zählen.</w:t>
      </w:r>
      <w:r>
        <w:t xml:space="preserve"> Keine Ziele und keine Prämien für wenige Befunde. Gezählt wird, was geschlossen ist und gewirkt hat.</w:t>
      </w:r>
    </w:p>
    <w:p>
      <w:pPr>
        <w:tabs>
          <w:tab w:pos="340" w:val="left"/>
        </w:tabs>
        <w:ind w:left="340" w:hanging="340"/>
      </w:pPr>
      <w:r>
        <w:rPr>
          <w:b/>
          <w:color w:val="8C5A2B"/>
        </w:rPr>
        <w:t>7.</w:t>
        <w:tab/>
      </w:r>
      <w:r>
        <w:rPr>
          <w:b/>
        </w:rPr>
        <w:t>Die Auditoren begleiten lassen.</w:t>
      </w:r>
      <w:r>
        <w:t xml:space="preserve"> Einmal im Jahr begleitet jemand mit Erfahrung jeden Auditor und schreibt auf, was er gut macht und was nicht.</w:t>
      </w:r>
    </w:p>
    <w:p>
      <w:pPr>
        <w:keepNext/>
        <w:spacing w:after="40"/>
      </w:pPr>
      <w:r>
        <w:rPr>
          <w:b/>
          <w:i w:val="0"/>
          <w:color w:val="8C5A2B"/>
          <w:sz w:val="18"/>
        </w:rPr>
        <w:t>Umsetzung im eigenen Haus</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4649"/>
        <w:gridCol w:w="2041"/>
        <w:gridCol w:w="1474"/>
        <w:gridCol w:w="1474"/>
      </w:tblGrid>
      <w:tr>
        <w:trPr>
          <w:cantSplit w:val="true"/>
          <w:tblHeader w:val="true"/>
        </w:trPr>
        <w:tc>
          <w:tcPr>
            <w:tcW w:type="dxa" w:w="4649"/>
            <w:shd w:val="clear" w:color="auto" w:fill="8C5A2B"/>
          </w:tcPr>
          <w:p>
            <w:pPr>
              <w:spacing w:after="0" w:before="0"/>
            </w:pPr>
            <w:r/>
            <w:r>
              <w:rPr>
                <w:b/>
                <w:i w:val="0"/>
                <w:color w:val="FFFFFF"/>
                <w:sz w:val="17"/>
              </w:rPr>
              <w:t>Schritt</w:t>
            </w:r>
          </w:p>
        </w:tc>
        <w:tc>
          <w:tcPr>
            <w:tcW w:type="dxa" w:w="2041"/>
            <w:shd w:val="clear" w:color="auto" w:fill="8C5A2B"/>
          </w:tcPr>
          <w:p>
            <w:pPr>
              <w:spacing w:after="0" w:before="0"/>
            </w:pPr>
            <w:r/>
            <w:r>
              <w:rPr>
                <w:b/>
                <w:i w:val="0"/>
                <w:color w:val="FFFFFF"/>
                <w:sz w:val="17"/>
              </w:rPr>
              <w:t>Verantwortlich</w:t>
            </w:r>
          </w:p>
        </w:tc>
        <w:tc>
          <w:tcPr>
            <w:tcW w:type="dxa" w:w="1474"/>
            <w:shd w:val="clear" w:color="auto" w:fill="8C5A2B"/>
          </w:tcPr>
          <w:p>
            <w:pPr>
              <w:spacing w:after="0" w:before="0"/>
            </w:pPr>
            <w:r/>
            <w:r>
              <w:rPr>
                <w:b/>
                <w:i w:val="0"/>
                <w:color w:val="FFFFFF"/>
                <w:sz w:val="17"/>
              </w:rPr>
              <w:t>Termin</w:t>
            </w:r>
          </w:p>
        </w:tc>
        <w:tc>
          <w:tcPr>
            <w:tcW w:type="dxa" w:w="1474"/>
            <w:shd w:val="clear" w:color="auto" w:fill="8C5A2B"/>
          </w:tcPr>
          <w:p>
            <w:pPr>
              <w:spacing w:after="0" w:before="0"/>
            </w:pPr>
            <w:r/>
            <w:r>
              <w:rPr>
                <w:b/>
                <w:i w:val="0"/>
                <w:color w:val="FFFFFF"/>
                <w:sz w:val="17"/>
              </w:rPr>
              <w:t>Erledigt</w:t>
            </w:r>
          </w:p>
        </w:tc>
      </w:tr>
      <w:tr>
        <w:trPr>
          <w:cantSplit w:val="true"/>
        </w:trPr>
        <w:tc>
          <w:tcPr>
            <w:tcW w:type="dxa" w:w="4649"/>
          </w:tcPr>
          <w:p>
            <w:pPr>
              <w:spacing w:after="0" w:before="0"/>
            </w:pPr>
            <w:r/>
            <w:r>
              <w:rPr>
                <w:b w:val="0"/>
                <w:i w:val="0"/>
                <w:color w:val="1A1A1A"/>
                <w:sz w:val="17"/>
              </w:rPr>
              <w:t>1. Den Auditplan nach der Regel der fremden Arbeit legen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2. Spuren bis nach oben verfolgen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3. Die erste Antwort der Leitung festlegen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4. Den Auditor nicht zum Berater machen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5. Jedem antworten, der meldet</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6. Befunde bearbeiten, nicht zählen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7. Die Auditoren begleiten lassen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bl>
    <w:p>
      <w:pPr>
        <w:spacing w:after="40"/>
      </w:pPr>
    </w:p>
    <w:p>
      <w:pPr>
        <w:pStyle w:val="Heading2"/>
      </w:pPr>
      <w:r>
        <w:t>Prüf-Checkliste</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5216"/>
        <w:gridCol w:w="680"/>
        <w:gridCol w:w="680"/>
        <w:gridCol w:w="3061"/>
      </w:tblGrid>
      <w:tr>
        <w:trPr>
          <w:cantSplit w:val="true"/>
          <w:tblHeader w:val="true"/>
        </w:trPr>
        <w:tc>
          <w:tcPr>
            <w:tcW w:type="dxa" w:w="5216"/>
            <w:shd w:val="clear" w:color="auto" w:fill="8C5A2B"/>
          </w:tcPr>
          <w:p>
            <w:pPr>
              <w:spacing w:after="0" w:before="0"/>
            </w:pPr>
            <w:r/>
            <w:r>
              <w:rPr>
                <w:b/>
                <w:i w:val="0"/>
                <w:color w:val="FFFFFF"/>
                <w:sz w:val="18"/>
              </w:rPr>
              <w:t>Frage</w:t>
            </w:r>
          </w:p>
        </w:tc>
        <w:tc>
          <w:tcPr>
            <w:tcW w:type="dxa" w:w="680"/>
            <w:shd w:val="clear" w:color="auto" w:fill="8C5A2B"/>
          </w:tcPr>
          <w:p>
            <w:pPr>
              <w:spacing w:after="0" w:before="0"/>
            </w:pPr>
            <w:r/>
            <w:r>
              <w:rPr>
                <w:b/>
                <w:i w:val="0"/>
                <w:color w:val="FFFFFF"/>
                <w:sz w:val="18"/>
              </w:rPr>
              <w:t>Ja</w:t>
            </w:r>
          </w:p>
        </w:tc>
        <w:tc>
          <w:tcPr>
            <w:tcW w:type="dxa" w:w="680"/>
            <w:shd w:val="clear" w:color="auto" w:fill="8C5A2B"/>
          </w:tcPr>
          <w:p>
            <w:pPr>
              <w:spacing w:after="0" w:before="0"/>
            </w:pPr>
            <w:r/>
            <w:r>
              <w:rPr>
                <w:b/>
                <w:i w:val="0"/>
                <w:color w:val="FFFFFF"/>
                <w:sz w:val="18"/>
              </w:rPr>
              <w:t>Nein</w:t>
            </w:r>
          </w:p>
        </w:tc>
        <w:tc>
          <w:tcPr>
            <w:tcW w:type="dxa" w:w="3061"/>
            <w:shd w:val="clear" w:color="auto" w:fill="8C5A2B"/>
          </w:tcPr>
          <w:p>
            <w:pPr>
              <w:spacing w:after="0" w:before="0"/>
            </w:pPr>
            <w:r/>
            <w:r>
              <w:rPr>
                <w:b/>
                <w:i w:val="0"/>
                <w:color w:val="FFFFFF"/>
                <w:sz w:val="18"/>
              </w:rPr>
              <w:t>Nachweis / Bemerkung</w:t>
            </w:r>
          </w:p>
        </w:tc>
      </w:tr>
      <w:tr>
        <w:trPr>
          <w:cantSplit w:val="true"/>
        </w:trPr>
        <w:tc>
          <w:tcPr>
            <w:tcW w:type="dxa" w:w="5216"/>
          </w:tcPr>
          <w:p>
            <w:pPr>
              <w:spacing w:after="0" w:before="0"/>
            </w:pPr>
            <w:r/>
            <w:r>
              <w:rPr>
                <w:b w:val="0"/>
                <w:i w:val="0"/>
                <w:color w:val="1A1A1A"/>
                <w:sz w:val="18"/>
              </w:rPr>
              <w:t>Prüft in unserem Haus niemand die eigene Arbeit, auch nicht im Kreuzaudit?</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Wurde im letzten Audit mindestens eine Entscheidung der Leitung geprüft?</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Antwortet die Leitung auf Befunde, die sie betreffen, mit der Frage nach der Ursache?</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Legt das Haus die Maßnahmen fest und nicht der Auditor?</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Kommen Meldungen auch ungefragt, etwa aus der Nacht?</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Erfahren alle, die beigetragen haben, was aus dem Audit geworden ist?</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Verzichten wir auf Ziele und Prämien für wenige Befunde?</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Wird die Kompetenz unserer internen Auditoren bewertet, mit Nachweis?</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bl>
    <w:p>
      <w:pPr>
        <w:spacing w:after="40"/>
      </w:pPr>
    </w:p>
    <w:p>
      <w:pPr>
        <w:pStyle w:val="Heading2"/>
      </w:pPr>
      <w:r>
        <w:t>Häufige Fehler</w:t>
      </w:r>
    </w:p>
    <w:p>
      <w:pPr>
        <w:tabs>
          <w:tab w:pos="340" w:val="left"/>
        </w:tabs>
        <w:ind w:left="340" w:hanging="340"/>
      </w:pPr>
      <w:r>
        <w:rPr>
          <w:color w:val="8C5A2B"/>
        </w:rPr>
        <w:t>–</w:t>
        <w:tab/>
      </w:r>
      <w:r>
        <w:rPr>
          <w:b/>
        </w:rPr>
        <w:t>Die Leitung vom Audit ausnehmen.</w:t>
      </w:r>
      <w:r>
        <w:t xml:space="preserve"> Durch das Loch oben fallen die teuersten Abweichungen.</w:t>
      </w:r>
    </w:p>
    <w:p>
      <w:pPr>
        <w:tabs>
          <w:tab w:pos="340" w:val="left"/>
        </w:tabs>
        <w:ind w:left="340" w:hanging="340"/>
      </w:pPr>
      <w:r>
        <w:rPr>
          <w:color w:val="8C5A2B"/>
        </w:rPr>
        <w:t>–</w:t>
        <w:tab/>
      </w:r>
      <w:r>
        <w:rPr>
          <w:b/>
        </w:rPr>
        <w:t>Befunde als Urteil über Menschen lesen.</w:t>
      </w:r>
      <w:r>
        <w:t xml:space="preserve"> Wer sich verteidigt, sucht keine Ursache.</w:t>
      </w:r>
    </w:p>
    <w:p>
      <w:pPr>
        <w:tabs>
          <w:tab w:pos="340" w:val="left"/>
        </w:tabs>
        <w:ind w:left="340" w:hanging="340"/>
      </w:pPr>
      <w:r>
        <w:rPr>
          <w:color w:val="8C5A2B"/>
        </w:rPr>
        <w:t>–</w:t>
        <w:tab/>
      </w:r>
      <w:r>
        <w:rPr>
          <w:b/>
        </w:rPr>
        <w:t>Den Auditor um Rat fragen.</w:t>
      </w:r>
      <w:r>
        <w:t xml:space="preserve"> Im nächsten Jahr prüft er dann seine eigene Empfehlung.</w:t>
      </w:r>
    </w:p>
    <w:p>
      <w:pPr>
        <w:tabs>
          <w:tab w:pos="340" w:val="left"/>
        </w:tabs>
        <w:ind w:left="340" w:hanging="340"/>
      </w:pPr>
      <w:r>
        <w:rPr>
          <w:color w:val="8C5A2B"/>
        </w:rPr>
        <w:t>–</w:t>
        <w:tab/>
      </w:r>
      <w:r>
        <w:rPr>
          <w:b/>
        </w:rPr>
        <w:t>Für wenige Befunde belohnen.</w:t>
      </w:r>
      <w:r>
        <w:t xml:space="preserve"> Man bekommt weniger gezeigt, nicht weniger Abweichungen.</w:t>
      </w:r>
    </w:p>
    <w:p>
      <w:pPr>
        <w:tabs>
          <w:tab w:pos="340" w:val="left"/>
        </w:tabs>
        <w:ind w:left="340" w:hanging="340"/>
      </w:pPr>
      <w:r>
        <w:rPr>
          <w:color w:val="8C5A2B"/>
        </w:rPr>
        <w:t>–</w:t>
        <w:tab/>
      </w:r>
      <w:r>
        <w:rPr>
          <w:b/>
        </w:rPr>
        <w:t>Meldungen nur abfragen.</w:t>
      </w:r>
      <w:r>
        <w:t xml:space="preserve"> Wer nie eine Antwort bekommt, schreibt nur noch, was im Formular steht.</w:t>
      </w:r>
    </w:p>
    <w:p>
      <w:pPr>
        <w:tabs>
          <w:tab w:pos="340" w:val="left"/>
        </w:tabs>
        <w:ind w:left="340" w:hanging="340"/>
      </w:pPr>
      <w:r>
        <w:rPr>
          <w:color w:val="8C5A2B"/>
        </w:rPr>
        <w:t>–</w:t>
        <w:tab/>
      </w:r>
      <w:r>
        <w:rPr>
          <w:b/>
        </w:rPr>
        <w:t>Die Unabhängigkeit dem Charakter überlassen.</w:t>
      </w:r>
      <w:r>
        <w:t xml:space="preserve"> Sie gehört in den Auditplan.</w:t>
      </w:r>
    </w:p>
    <w:p>
      <w:pPr>
        <w:pStyle w:val="Heading2"/>
      </w:pPr>
      <w:r>
        <w:t>Modellrechnung</w:t>
      </w:r>
    </w:p>
    <w:p>
      <w:r>
        <w:rPr>
          <w:b w:val="0"/>
          <w:i/>
          <w:color w:val="5A5A5A"/>
          <w:sz w:val="18"/>
        </w:rPr>
        <w:t>Modellannahme, kein belegter Branchenwert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175"/>
        <w:gridCol w:w="1474"/>
        <w:gridCol w:w="3175"/>
        <w:gridCol w:w="1814"/>
      </w:tblGrid>
      <w:tr>
        <w:trPr>
          <w:cantSplit w:val="true"/>
          <w:tblHeader w:val="true"/>
        </w:trPr>
        <w:tc>
          <w:tcPr>
            <w:tcW w:type="dxa" w:w="3175"/>
            <w:shd w:val="clear" w:color="auto" w:fill="8C5A2B"/>
          </w:tcPr>
          <w:p>
            <w:pPr>
              <w:spacing w:after="0" w:before="0"/>
            </w:pPr>
            <w:r/>
            <w:r>
              <w:rPr>
                <w:b/>
                <w:i w:val="0"/>
                <w:color w:val="FFFFFF"/>
                <w:sz w:val="18"/>
              </w:rPr>
              <w:t>Posten</w:t>
            </w:r>
          </w:p>
        </w:tc>
        <w:tc>
          <w:tcPr>
            <w:tcW w:type="dxa" w:w="1474"/>
            <w:shd w:val="clear" w:color="auto" w:fill="8C5A2B"/>
          </w:tcPr>
          <w:p>
            <w:pPr>
              <w:spacing w:after="0" w:before="0"/>
            </w:pPr>
            <w:r/>
            <w:r>
              <w:rPr>
                <w:b/>
                <w:i w:val="0"/>
                <w:color w:val="FFFFFF"/>
                <w:sz w:val="18"/>
              </w:rPr>
              <w:t>Betrag</w:t>
            </w:r>
          </w:p>
        </w:tc>
        <w:tc>
          <w:tcPr>
            <w:tcW w:type="dxa" w:w="3175"/>
            <w:shd w:val="clear" w:color="auto" w:fill="8C5A2B"/>
          </w:tcPr>
          <w:p>
            <w:pPr>
              <w:spacing w:after="0" w:before="0"/>
            </w:pPr>
            <w:r/>
            <w:r>
              <w:rPr>
                <w:b/>
                <w:i w:val="0"/>
                <w:color w:val="FFFFFF"/>
                <w:sz w:val="18"/>
              </w:rPr>
              <w:t>Anmerkung</w:t>
            </w:r>
          </w:p>
        </w:tc>
        <w:tc>
          <w:tcPr>
            <w:tcW w:type="dxa" w:w="1814"/>
            <w:shd w:val="clear" w:color="auto" w:fill="8C5A2B"/>
          </w:tcPr>
          <w:p>
            <w:pPr>
              <w:spacing w:after="0" w:before="0"/>
            </w:pPr>
            <w:r/>
            <w:r>
              <w:rPr>
                <w:b/>
                <w:i w:val="0"/>
                <w:color w:val="FFFFFF"/>
                <w:sz w:val="18"/>
              </w:rPr>
              <w:t>Eigener Wert</w:t>
            </w:r>
          </w:p>
        </w:tc>
      </w:tr>
      <w:tr>
        <w:trPr>
          <w:cantSplit w:val="true"/>
        </w:trPr>
        <w:tc>
          <w:tcPr>
            <w:tcW w:type="dxa" w:w="3175"/>
          </w:tcPr>
          <w:p>
            <w:pPr>
              <w:spacing w:after="0" w:before="0"/>
            </w:pPr>
            <w:r/>
            <w:r>
              <w:rPr>
                <w:b w:val="0"/>
                <w:i w:val="0"/>
                <w:color w:val="1A1A1A"/>
                <w:sz w:val="18"/>
              </w:rPr>
              <w:t>Kurs für interne Auditoren: 2 Personen zu € 690</w:t>
            </w:r>
          </w:p>
        </w:tc>
        <w:tc>
          <w:tcPr>
            <w:tcW w:type="dxa" w:w="1474"/>
          </w:tcPr>
          <w:p>
            <w:pPr>
              <w:spacing w:after="0" w:before="0"/>
            </w:pPr>
            <w:r/>
            <w:r>
              <w:rPr>
                <w:b w:val="0"/>
                <w:i w:val="0"/>
                <w:color w:val="1A1A1A"/>
                <w:sz w:val="18"/>
              </w:rPr>
              <w:t>€ 1.380</w:t>
            </w:r>
          </w:p>
        </w:tc>
        <w:tc>
          <w:tcPr>
            <w:tcW w:type="dxa" w:w="3175"/>
          </w:tcPr>
          <w:p>
            <w:pPr>
              <w:spacing w:after="0" w:before="0"/>
            </w:pPr>
            <w:r/>
            <w:r>
              <w:rPr>
                <w:b w:val="0"/>
                <w:i w:val="0"/>
                <w:color w:val="1A1A1A"/>
                <w:sz w:val="18"/>
              </w:rPr>
              <w:t>einmalig, im Frühjahr</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Arbeitszeit für den Kurs: 2 Personen × 16 Stunden</w:t>
            </w:r>
          </w:p>
        </w:tc>
        <w:tc>
          <w:tcPr>
            <w:tcW w:type="dxa" w:w="1474"/>
            <w:shd w:val="clear" w:color="auto" w:fill="F3EFE6"/>
          </w:tcPr>
          <w:p>
            <w:pPr>
              <w:spacing w:after="0" w:before="0"/>
            </w:pPr>
            <w:r/>
            <w:r>
              <w:rPr>
                <w:b w:val="0"/>
                <w:i w:val="0"/>
                <w:color w:val="1A1A1A"/>
                <w:sz w:val="18"/>
              </w:rPr>
              <w:t>32 Stunden</w:t>
            </w:r>
          </w:p>
        </w:tc>
        <w:tc>
          <w:tcPr>
            <w:tcW w:type="dxa" w:w="3175"/>
            <w:shd w:val="clear" w:color="auto" w:fill="F3EFE6"/>
          </w:tcPr>
          <w:p>
            <w:pPr>
              <w:spacing w:after="0" w:before="0"/>
            </w:pPr>
            <w:r/>
            <w:r>
              <w:rPr>
                <w:b w:val="0"/>
                <w:i w:val="0"/>
                <w:color w:val="1A1A1A"/>
                <w:sz w:val="18"/>
              </w:rPr>
              <w:t>Haustechniker und Rezeptionistin</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Internes Audit im zweiten Jahr: 3 Tage und 2 Tage zu 8 Stunden</w:t>
            </w:r>
          </w:p>
        </w:tc>
        <w:tc>
          <w:tcPr>
            <w:tcW w:type="dxa" w:w="1474"/>
          </w:tcPr>
          <w:p>
            <w:pPr>
              <w:spacing w:after="0" w:before="0"/>
            </w:pPr>
            <w:r/>
            <w:r>
              <w:rPr>
                <w:b w:val="0"/>
                <w:i w:val="0"/>
                <w:color w:val="1A1A1A"/>
                <w:sz w:val="18"/>
              </w:rPr>
              <w:t>40 Stunden</w:t>
            </w:r>
          </w:p>
        </w:tc>
        <w:tc>
          <w:tcPr>
            <w:tcW w:type="dxa" w:w="3175"/>
          </w:tcPr>
          <w:p>
            <w:pPr>
              <w:spacing w:after="0" w:before="0"/>
            </w:pPr>
            <w:r/>
            <w:r>
              <w:rPr>
                <w:b w:val="0"/>
                <w:i w:val="0"/>
                <w:color w:val="1A1A1A"/>
                <w:sz w:val="18"/>
              </w:rPr>
              <w:t>eigene Auditoren</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Externe Auditorin: Begleitung 1 Tag, Managementbewertung und Programm ½ Tag, zu € 1.050 je Tag</w:t>
            </w:r>
          </w:p>
        </w:tc>
        <w:tc>
          <w:tcPr>
            <w:tcW w:type="dxa" w:w="1474"/>
            <w:shd w:val="clear" w:color="auto" w:fill="F3EFE6"/>
          </w:tcPr>
          <w:p>
            <w:pPr>
              <w:spacing w:after="0" w:before="0"/>
            </w:pPr>
            <w:r/>
            <w:r>
              <w:rPr>
                <w:b w:val="0"/>
                <w:i w:val="0"/>
                <w:color w:val="1A1A1A"/>
                <w:sz w:val="18"/>
              </w:rPr>
              <w:t>€ 1.575</w:t>
            </w:r>
          </w:p>
        </w:tc>
        <w:tc>
          <w:tcPr>
            <w:tcW w:type="dxa" w:w="3175"/>
            <w:shd w:val="clear" w:color="auto" w:fill="F3EFE6"/>
          </w:tcPr>
          <w:p>
            <w:pPr>
              <w:spacing w:after="0" w:before="0"/>
            </w:pPr>
            <w:r/>
            <w:r>
              <w:rPr>
                <w:b w:val="0"/>
                <w:i w:val="0"/>
                <w:color w:val="1A1A1A"/>
                <w:sz w:val="18"/>
              </w:rPr>
              <w:t>jährlich</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Zum Vergleich erstes Jahr: externe Auditorin 3 Tage zu € 1.050</w:t>
            </w:r>
          </w:p>
        </w:tc>
        <w:tc>
          <w:tcPr>
            <w:tcW w:type="dxa" w:w="1474"/>
          </w:tcPr>
          <w:p>
            <w:pPr>
              <w:spacing w:after="0" w:before="0"/>
            </w:pPr>
            <w:r/>
            <w:r>
              <w:rPr>
                <w:b w:val="0"/>
                <w:i w:val="0"/>
                <w:color w:val="1A1A1A"/>
                <w:sz w:val="18"/>
              </w:rPr>
              <w:t>€ 3.150</w:t>
            </w:r>
          </w:p>
        </w:tc>
        <w:tc>
          <w:tcPr>
            <w:tcW w:type="dxa" w:w="3175"/>
          </w:tcPr>
          <w:p>
            <w:pPr>
              <w:spacing w:after="0" w:before="0"/>
            </w:pPr>
            <w:r/>
            <w:r>
              <w:rPr>
                <w:b w:val="0"/>
                <w:i w:val="0"/>
                <w:color w:val="1A1A1A"/>
                <w:sz w:val="18"/>
              </w:rPr>
              <w:t>Vorgespräch, zwei Prüftage, Bericht (3.1)</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Einwegbecher am 14. August: 1.300 zu € 0,11</w:t>
            </w:r>
          </w:p>
        </w:tc>
        <w:tc>
          <w:tcPr>
            <w:tcW w:type="dxa" w:w="1474"/>
            <w:shd w:val="clear" w:color="auto" w:fill="F3EFE6"/>
          </w:tcPr>
          <w:p>
            <w:pPr>
              <w:spacing w:after="0" w:before="0"/>
            </w:pPr>
            <w:r/>
            <w:r>
              <w:rPr>
                <w:b w:val="0"/>
                <w:i w:val="0"/>
                <w:color w:val="1A1A1A"/>
                <w:sz w:val="18"/>
              </w:rPr>
              <w:t>€ 143</w:t>
            </w:r>
          </w:p>
        </w:tc>
        <w:tc>
          <w:tcPr>
            <w:tcW w:type="dxa" w:w="3175"/>
            <w:shd w:val="clear" w:color="auto" w:fill="F3EFE6"/>
          </w:tcPr>
          <w:p>
            <w:pPr>
              <w:spacing w:after="0" w:before="0"/>
            </w:pPr>
            <w:r/>
            <w:r>
              <w:rPr>
                <w:b w:val="0"/>
                <w:i w:val="0"/>
                <w:color w:val="1A1A1A"/>
                <w:sz w:val="18"/>
              </w:rPr>
              <w:t>Gegenstand der Nichtkonformität</w:t>
            </w:r>
          </w:p>
        </w:tc>
        <w:tc>
          <w:tcPr>
            <w:tcW w:type="dxa" w:w="1814"/>
            <w:shd w:val="clear" w:color="auto" w:fill="F3EFE6"/>
          </w:tcPr>
          <w:p>
            <w:pPr>
              <w:spacing w:after="0" w:before="0"/>
            </w:pPr>
            <w:r/>
            <w:r>
              <w:rPr>
                <w:b w:val="0"/>
                <w:i w:val="0"/>
                <w:color w:val="1A1A1A"/>
                <w:sz w:val="18"/>
              </w:rPr>
            </w:r>
          </w:p>
        </w:tc>
      </w:tr>
    </w:tbl>
    <w:p>
      <w:pPr>
        <w:spacing w:after="40"/>
      </w:pPr>
    </w:p>
    <w:p>
      <w:r>
        <w:rPr>
          <w:b w:val="0"/>
          <w:i w:val="0"/>
        </w:rPr>
        <w:t>Die Rechnung zeigt, dass das eigene Audit kaum Geld spart: Der Betrag liegt im zweiten Jahr nur wenig unter dem des ersten, und dazu kommen zweiundsiebzig Stunden eigener Leute, die anderswo fehlen. Stunden und Euro sind getrennt aufgeführt und nicht zusammengezählt. Die kleinste Zahl der Tabelle gehört zum wichtigsten Befund des Jahres. Hundertdreiundvierzig Euro Becher waren nicht der Schaden; der Schaden wäre gewesen, dass niemand den Befund schreibt.</w:t>
      </w:r>
    </w:p>
    <w:p>
      <w:pPr>
        <w:pStyle w:val="Heading2"/>
      </w:pPr>
      <w:r>
        <w:t>Was verlangt ist, und was nur Anleitung ist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88"/>
        <w:gridCol w:w="3175"/>
        <w:gridCol w:w="3175"/>
      </w:tblGrid>
      <w:tr>
        <w:trPr>
          <w:cantSplit w:val="true"/>
          <w:tblHeader w:val="true"/>
        </w:trPr>
        <w:tc>
          <w:tcPr>
            <w:tcW w:type="dxa" w:w="3288"/>
            <w:shd w:val="clear" w:color="auto" w:fill="8C5A2B"/>
          </w:tcPr>
          <w:p>
            <w:pPr>
              <w:spacing w:after="0" w:before="0"/>
            </w:pPr>
            <w:r/>
            <w:r>
              <w:rPr>
                <w:b/>
                <w:i w:val="0"/>
                <w:color w:val="FFFFFF"/>
                <w:sz w:val="18"/>
              </w:rPr>
              <w:t>Verlangt</w:t>
            </w:r>
          </w:p>
        </w:tc>
        <w:tc>
          <w:tcPr>
            <w:tcW w:type="dxa" w:w="3175"/>
            <w:shd w:val="clear" w:color="auto" w:fill="8C5A2B"/>
          </w:tcPr>
          <w:p>
            <w:pPr>
              <w:spacing w:after="0" w:before="0"/>
            </w:pPr>
            <w:r/>
            <w:r>
              <w:rPr>
                <w:b/>
                <w:i w:val="0"/>
                <w:color w:val="FFFFFF"/>
                <w:sz w:val="18"/>
              </w:rPr>
              <w:t>Was es im Hotel belegt</w:t>
            </w:r>
          </w:p>
        </w:tc>
        <w:tc>
          <w:tcPr>
            <w:tcW w:type="dxa" w:w="3175"/>
            <w:shd w:val="clear" w:color="auto" w:fill="8C5A2B"/>
          </w:tcPr>
          <w:p>
            <w:pPr>
              <w:spacing w:after="0" w:before="0"/>
            </w:pPr>
            <w:r/>
            <w:r>
              <w:rPr>
                <w:b/>
                <w:i w:val="0"/>
                <w:color w:val="FFFFFF"/>
                <w:sz w:val="18"/>
              </w:rPr>
              <w:t>Nur Leitfaden oder Methode</w:t>
            </w:r>
          </w:p>
        </w:tc>
      </w:tr>
      <w:tr>
        <w:trPr>
          <w:cantSplit w:val="true"/>
        </w:trPr>
        <w:tc>
          <w:tcPr>
            <w:tcW w:type="dxa" w:w="3288"/>
          </w:tcPr>
          <w:p>
            <w:pPr>
              <w:spacing w:after="0" w:before="0"/>
            </w:pPr>
            <w:r/>
            <w:r>
              <w:rPr>
                <w:b w:val="0"/>
                <w:i w:val="0"/>
                <w:color w:val="1A1A1A"/>
                <w:sz w:val="18"/>
              </w:rPr>
              <w:t>Internes Audit des ganzen Systems (9.2.1)</w:t>
            </w:r>
          </w:p>
        </w:tc>
        <w:tc>
          <w:tcPr>
            <w:tcW w:type="dxa" w:w="3175"/>
          </w:tcPr>
          <w:p>
            <w:pPr>
              <w:spacing w:after="0" w:before="0"/>
            </w:pPr>
            <w:r/>
            <w:r>
              <w:rPr>
                <w:b w:val="0"/>
                <w:i w:val="0"/>
                <w:color w:val="1A1A1A"/>
                <w:sz w:val="18"/>
              </w:rPr>
              <w:t>Spur vom Bankettformular bis zur Entscheidung der Direktion</w:t>
            </w:r>
          </w:p>
        </w:tc>
        <w:tc>
          <w:tcPr>
            <w:tcW w:type="dxa" w:w="3175"/>
          </w:tcPr>
          <w:p>
            <w:pPr>
              <w:spacing w:after="0" w:before="0"/>
            </w:pPr>
            <w:r/>
            <w:r>
              <w:rPr>
                <w:b w:val="0"/>
                <w:i w:val="0"/>
                <w:color w:val="1A1A1A"/>
                <w:sz w:val="18"/>
              </w:rPr>
              <w:t>Methode: zwölf Feste von Formular bis Hof verfolgen</w:t>
            </w:r>
          </w:p>
        </w:tc>
      </w:tr>
      <w:tr>
        <w:trPr>
          <w:cantSplit w:val="true"/>
        </w:trPr>
        <w:tc>
          <w:tcPr>
            <w:tcW w:type="dxa" w:w="3288"/>
            <w:shd w:val="clear" w:color="auto" w:fill="F3EFE6"/>
          </w:tcPr>
          <w:p>
            <w:pPr>
              <w:spacing w:after="0" w:before="0"/>
            </w:pPr>
            <w:r/>
            <w:r>
              <w:rPr>
                <w:b w:val="0"/>
                <w:i w:val="0"/>
                <w:color w:val="1A1A1A"/>
                <w:sz w:val="18"/>
              </w:rPr>
              <w:t>Objektivität und Unparteilichkeit; Bericht an die Leitung (9.2.2)</w:t>
            </w:r>
          </w:p>
        </w:tc>
        <w:tc>
          <w:tcPr>
            <w:tcW w:type="dxa" w:w="3175"/>
            <w:shd w:val="clear" w:color="auto" w:fill="F3EFE6"/>
          </w:tcPr>
          <w:p>
            <w:pPr>
              <w:spacing w:after="0" w:before="0"/>
            </w:pPr>
            <w:r/>
            <w:r>
              <w:rPr>
                <w:b w:val="0"/>
                <w:i w:val="0"/>
                <w:color w:val="1A1A1A"/>
                <w:sz w:val="18"/>
              </w:rPr>
              <w:t>Auditplan mit Kreuzaudit; Bericht an Eigentümerin und Direktion</w:t>
            </w:r>
          </w:p>
        </w:tc>
        <w:tc>
          <w:tcPr>
            <w:tcW w:type="dxa" w:w="3175"/>
            <w:shd w:val="clear" w:color="auto" w:fill="F3EFE6"/>
          </w:tcPr>
          <w:p>
            <w:pPr>
              <w:spacing w:after="0" w:before="0"/>
            </w:pPr>
            <w:r/>
            <w:r>
              <w:rPr>
                <w:b w:val="0"/>
                <w:i w:val="0"/>
                <w:color w:val="1A1A1A"/>
                <w:sz w:val="18"/>
              </w:rPr>
              <w:t>A.21: nicht die eigene Arbeit prüfen</w:t>
            </w:r>
          </w:p>
        </w:tc>
      </w:tr>
      <w:tr>
        <w:trPr>
          <w:cantSplit w:val="true"/>
        </w:trPr>
        <w:tc>
          <w:tcPr>
            <w:tcW w:type="dxa" w:w="3288"/>
          </w:tcPr>
          <w:p>
            <w:pPr>
              <w:spacing w:after="0" w:before="0"/>
            </w:pPr>
            <w:r/>
            <w:r>
              <w:rPr>
                <w:b w:val="0"/>
                <w:i w:val="0"/>
                <w:color w:val="1A1A1A"/>
                <w:sz w:val="18"/>
              </w:rPr>
              <w:t>Kompetenz bestimmen, sicherstellen, Nachweis (7.2)</w:t>
            </w:r>
          </w:p>
        </w:tc>
        <w:tc>
          <w:tcPr>
            <w:tcW w:type="dxa" w:w="3175"/>
          </w:tcPr>
          <w:p>
            <w:pPr>
              <w:spacing w:after="0" w:before="0"/>
            </w:pPr>
            <w:r/>
            <w:r>
              <w:rPr>
                <w:b w:val="0"/>
                <w:i w:val="0"/>
                <w:color w:val="1A1A1A"/>
                <w:sz w:val="18"/>
              </w:rPr>
              <w:t>Kursbestätigungen; Notiz der Begleitung</w:t>
            </w:r>
          </w:p>
        </w:tc>
        <w:tc>
          <w:tcPr>
            <w:tcW w:type="dxa" w:w="3175"/>
          </w:tcPr>
          <w:p>
            <w:pPr>
              <w:spacing w:after="0" w:before="0"/>
            </w:pPr>
            <w:r/>
            <w:r>
              <w:rPr>
                <w:b w:val="0"/>
                <w:i w:val="0"/>
                <w:color w:val="1A1A1A"/>
                <w:sz w:val="18"/>
              </w:rPr>
              <w:t>ISO 19011:2026: Kompetenz geplant bewerten und erhalten</w:t>
            </w:r>
          </w:p>
        </w:tc>
      </w:tr>
      <w:tr>
        <w:trPr>
          <w:cantSplit w:val="true"/>
        </w:trPr>
        <w:tc>
          <w:tcPr>
            <w:tcW w:type="dxa" w:w="3288"/>
            <w:shd w:val="clear" w:color="auto" w:fill="F3EFE6"/>
          </w:tcPr>
          <w:p>
            <w:pPr>
              <w:spacing w:after="0" w:before="0"/>
            </w:pPr>
            <w:r/>
            <w:r>
              <w:rPr>
                <w:b w:val="0"/>
                <w:i w:val="0"/>
                <w:color w:val="1A1A1A"/>
                <w:sz w:val="18"/>
              </w:rPr>
              <w:t>Bewusstsein für Beitrag und Folgen (7.3)</w:t>
            </w:r>
          </w:p>
        </w:tc>
        <w:tc>
          <w:tcPr>
            <w:tcW w:type="dxa" w:w="3175"/>
            <w:shd w:val="clear" w:color="auto" w:fill="F3EFE6"/>
          </w:tcPr>
          <w:p>
            <w:pPr>
              <w:spacing w:after="0" w:before="0"/>
            </w:pPr>
            <w:r/>
            <w:r>
              <w:rPr>
                <w:b w:val="0"/>
                <w:i w:val="0"/>
                <w:color w:val="1A1A1A"/>
                <w:sz w:val="18"/>
              </w:rPr>
              <w:t>Zusammenfassung des Audits an alle Beteiligten</w:t>
            </w:r>
          </w:p>
        </w:tc>
        <w:tc>
          <w:tcPr>
            <w:tcW w:type="dxa" w:w="3175"/>
            <w:shd w:val="clear" w:color="auto" w:fill="F3EFE6"/>
          </w:tcPr>
          <w:p>
            <w:pPr>
              <w:spacing w:after="0" w:before="0"/>
            </w:pPr>
            <w:r/>
            <w:r>
              <w:rPr>
                <w:b w:val="0"/>
                <w:i w:val="0"/>
                <w:color w:val="1A1A1A"/>
                <w:sz w:val="18"/>
              </w:rPr>
              <w:t>Methode: Antwort an jeden, der meldet</w:t>
            </w:r>
          </w:p>
        </w:tc>
      </w:tr>
      <w:tr>
        <w:trPr>
          <w:cantSplit w:val="true"/>
        </w:trPr>
        <w:tc>
          <w:tcPr>
            <w:tcW w:type="dxa" w:w="3288"/>
          </w:tcPr>
          <w:p>
            <w:pPr>
              <w:spacing w:after="0" w:before="0"/>
            </w:pPr>
            <w:r/>
            <w:r>
              <w:rPr>
                <w:b w:val="0"/>
                <w:i w:val="0"/>
                <w:color w:val="1A1A1A"/>
                <w:sz w:val="18"/>
              </w:rPr>
              <w:t>Führung durch die oberste Leitung (5.1)</w:t>
            </w:r>
          </w:p>
        </w:tc>
        <w:tc>
          <w:tcPr>
            <w:tcW w:type="dxa" w:w="3175"/>
          </w:tcPr>
          <w:p>
            <w:pPr>
              <w:spacing w:after="0" w:before="0"/>
            </w:pPr>
            <w:r/>
            <w:r>
              <w:rPr>
                <w:b w:val="0"/>
                <w:i w:val="0"/>
                <w:color w:val="1A1A1A"/>
                <w:sz w:val="18"/>
              </w:rPr>
              <w:t>Befund zur Direktion im Bericht, mit Korrekturmaßnahme</w:t>
            </w:r>
          </w:p>
        </w:tc>
        <w:tc>
          <w:tcPr>
            <w:tcW w:type="dxa" w:w="3175"/>
          </w:tcPr>
          <w:p>
            <w:pPr>
              <w:spacing w:after="0" w:before="0"/>
            </w:pPr>
            <w:r/>
            <w:r>
              <w:rPr>
                <w:b w:val="0"/>
                <w:i w:val="0"/>
                <w:color w:val="1A1A1A"/>
                <w:sz w:val="18"/>
              </w:rPr>
              <w:t>Tabelle A.5: Stufen der Transparenz</w:t>
            </w:r>
          </w:p>
        </w:tc>
      </w:tr>
      <w:tr>
        <w:trPr>
          <w:cantSplit w:val="true"/>
        </w:trPr>
        <w:tc>
          <w:tcPr>
            <w:tcW w:type="dxa" w:w="3288"/>
            <w:shd w:val="clear" w:color="auto" w:fill="F3EFE6"/>
          </w:tcPr>
          <w:p>
            <w:pPr>
              <w:spacing w:after="0" w:before="0"/>
            </w:pPr>
            <w:r/>
            <w:r>
              <w:rPr>
                <w:b w:val="0"/>
                <w:i w:val="0"/>
                <w:color w:val="1A1A1A"/>
                <w:sz w:val="18"/>
              </w:rPr>
              <w:t>Fortlaufende Verbesserung (10.1)</w:t>
            </w:r>
          </w:p>
        </w:tc>
        <w:tc>
          <w:tcPr>
            <w:tcW w:type="dxa" w:w="3175"/>
            <w:shd w:val="clear" w:color="auto" w:fill="F3EFE6"/>
          </w:tcPr>
          <w:p>
            <w:pPr>
              <w:spacing w:after="0" w:before="0"/>
            </w:pPr>
            <w:r/>
            <w:r>
              <w:rPr>
                <w:b w:val="0"/>
                <w:i w:val="0"/>
                <w:color w:val="1A1A1A"/>
                <w:sz w:val="18"/>
              </w:rPr>
              <w:t>Befunde des Vorjahres geschlossen; Entscheidungen der Managementbewertung</w:t>
            </w:r>
          </w:p>
        </w:tc>
        <w:tc>
          <w:tcPr>
            <w:tcW w:type="dxa" w:w="3175"/>
            <w:shd w:val="clear" w:color="auto" w:fill="F3EFE6"/>
          </w:tcPr>
          <w:p>
            <w:pPr>
              <w:spacing w:after="0" w:before="0"/>
            </w:pPr>
            <w:r/>
            <w:r>
              <w:rPr>
                <w:b w:val="0"/>
                <w:i w:val="0"/>
                <w:color w:val="1A1A1A"/>
                <w:sz w:val="18"/>
              </w:rPr>
              <w:t>Methode: Befunde bearbeiten, nicht zählen</w:t>
            </w:r>
          </w:p>
        </w:tc>
      </w:tr>
    </w:tbl>
    <w:p>
      <w:pPr>
        <w:spacing w:after="40"/>
      </w:pPr>
    </w:p>
    <w:p>
      <w:pPr>
        <w:pStyle w:val="Heading2"/>
      </w:pPr>
      <w:r>
        <w:t>DACH-Anker: wo das Recht die Auditkultur berührt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1474"/>
        <w:gridCol w:w="2721"/>
        <w:gridCol w:w="2721"/>
        <w:gridCol w:w="2721"/>
      </w:tblGrid>
      <w:tr>
        <w:trPr>
          <w:cantSplit w:val="true"/>
          <w:tblHeader w:val="true"/>
        </w:trPr>
        <w:tc>
          <w:tcPr>
            <w:tcW w:type="dxa" w:w="1474"/>
            <w:shd w:val="clear" w:color="auto" w:fill="8C5A2B"/>
          </w:tcPr>
          <w:p>
            <w:pPr>
              <w:spacing w:after="0" w:before="0"/>
            </w:pPr>
            <w:r/>
            <w:r>
              <w:rPr>
                <w:b/>
                <w:i w:val="0"/>
                <w:color w:val="FFFFFF"/>
                <w:sz w:val="17"/>
              </w:rPr>
              <w:t>Ebene</w:t>
            </w:r>
          </w:p>
        </w:tc>
        <w:tc>
          <w:tcPr>
            <w:tcW w:type="dxa" w:w="2721"/>
            <w:shd w:val="clear" w:color="auto" w:fill="8C5A2B"/>
          </w:tcPr>
          <w:p>
            <w:pPr>
              <w:spacing w:after="0" w:before="0"/>
            </w:pPr>
            <w:r/>
            <w:r>
              <w:rPr>
                <w:b/>
                <w:i w:val="0"/>
                <w:color w:val="FFFFFF"/>
                <w:sz w:val="17"/>
              </w:rPr>
              <w:t>Deutschland</w:t>
            </w:r>
          </w:p>
        </w:tc>
        <w:tc>
          <w:tcPr>
            <w:tcW w:type="dxa" w:w="2721"/>
            <w:shd w:val="clear" w:color="auto" w:fill="8C5A2B"/>
          </w:tcPr>
          <w:p>
            <w:pPr>
              <w:spacing w:after="0" w:before="0"/>
            </w:pPr>
            <w:r/>
            <w:r>
              <w:rPr>
                <w:b/>
                <w:i w:val="0"/>
                <w:color w:val="FFFFFF"/>
                <w:sz w:val="17"/>
              </w:rPr>
              <w:t>Österreich</w:t>
            </w:r>
          </w:p>
        </w:tc>
        <w:tc>
          <w:tcPr>
            <w:tcW w:type="dxa" w:w="2721"/>
            <w:shd w:val="clear" w:color="auto" w:fill="8C5A2B"/>
          </w:tcPr>
          <w:p>
            <w:pPr>
              <w:spacing w:after="0" w:before="0"/>
            </w:pPr>
            <w:r/>
            <w:r>
              <w:rPr>
                <w:b/>
                <w:i w:val="0"/>
                <w:color w:val="FFFFFF"/>
                <w:sz w:val="17"/>
              </w:rPr>
              <w:t>Schweiz</w:t>
            </w:r>
          </w:p>
        </w:tc>
      </w:tr>
      <w:tr>
        <w:trPr>
          <w:cantSplit w:val="true"/>
        </w:trPr>
        <w:tc>
          <w:tcPr>
            <w:tcW w:type="dxa" w:w="1474"/>
          </w:tcPr>
          <w:p>
            <w:pPr>
              <w:spacing w:after="0" w:before="0"/>
            </w:pPr>
            <w:r/>
            <w:r>
              <w:rPr>
                <w:b w:val="0"/>
                <w:i w:val="0"/>
                <w:color w:val="1A1A1A"/>
                <w:sz w:val="17"/>
              </w:rPr>
              <w:t>Meldungen von Beschäftigten</w:t>
            </w:r>
          </w:p>
        </w:tc>
        <w:tc>
          <w:tcPr>
            <w:tcW w:type="dxa" w:w="2721"/>
          </w:tcPr>
          <w:p>
            <w:pPr>
              <w:spacing w:after="0" w:before="0"/>
            </w:pPr>
            <w:r/>
            <w:r>
              <w:rPr>
                <w:b w:val="0"/>
                <w:i w:val="0"/>
                <w:color w:val="1A1A1A"/>
                <w:sz w:val="17"/>
              </w:rPr>
              <w:t>Hinweisgeberschutzgesetz (Umsetzung der EU-Hinweisgeberrichtlinie): interne Meldewege ab einer bestimmten Unternehmensgröße; geschützt sind Hinweise auf Rechtsverstöße</w:t>
            </w:r>
          </w:p>
        </w:tc>
        <w:tc>
          <w:tcPr>
            <w:tcW w:type="dxa" w:w="2721"/>
          </w:tcPr>
          <w:p>
            <w:pPr>
              <w:spacing w:after="0" w:before="0"/>
            </w:pPr>
            <w:r/>
            <w:r>
              <w:rPr>
                <w:b w:val="0"/>
                <w:i w:val="0"/>
                <w:color w:val="1A1A1A"/>
                <w:sz w:val="17"/>
              </w:rPr>
              <w:t>HinweisgeberInnenschutzgesetz, ebenso</w:t>
            </w:r>
          </w:p>
        </w:tc>
        <w:tc>
          <w:tcPr>
            <w:tcW w:type="dxa" w:w="2721"/>
          </w:tcPr>
          <w:p>
            <w:pPr>
              <w:spacing w:after="0" w:before="0"/>
            </w:pPr>
            <w:r/>
            <w:r>
              <w:rPr>
                <w:b w:val="0"/>
                <w:i w:val="0"/>
                <w:color w:val="1A1A1A"/>
                <w:sz w:val="17"/>
              </w:rPr>
              <w:t>keine Umsetzung der EU-Richtlinie; allgemeines Arbeitsrecht</w:t>
            </w:r>
          </w:p>
        </w:tc>
      </w:tr>
      <w:tr>
        <w:trPr>
          <w:cantSplit w:val="true"/>
        </w:trPr>
        <w:tc>
          <w:tcPr>
            <w:tcW w:type="dxa" w:w="1474"/>
            <w:shd w:val="clear" w:color="auto" w:fill="F3EFE6"/>
          </w:tcPr>
          <w:p>
            <w:pPr>
              <w:spacing w:after="0" w:before="0"/>
            </w:pPr>
            <w:r/>
            <w:r>
              <w:rPr>
                <w:b w:val="0"/>
                <w:i w:val="0"/>
                <w:color w:val="1A1A1A"/>
                <w:sz w:val="17"/>
              </w:rPr>
              <w:t>Fotos und Notizen aus der Nacht</w:t>
            </w:r>
          </w:p>
        </w:tc>
        <w:tc>
          <w:tcPr>
            <w:tcW w:type="dxa" w:w="2721"/>
            <w:shd w:val="clear" w:color="auto" w:fill="F3EFE6"/>
          </w:tcPr>
          <w:p>
            <w:pPr>
              <w:spacing w:after="0" w:before="0"/>
            </w:pPr>
            <w:r/>
            <w:r>
              <w:rPr>
                <w:b w:val="0"/>
                <w:i w:val="0"/>
                <w:color w:val="1A1A1A"/>
                <w:sz w:val="17"/>
              </w:rPr>
              <w:t>DSGVO, wenn Personen erkennbar sind</w:t>
            </w:r>
          </w:p>
        </w:tc>
        <w:tc>
          <w:tcPr>
            <w:tcW w:type="dxa" w:w="2721"/>
            <w:shd w:val="clear" w:color="auto" w:fill="F3EFE6"/>
          </w:tcPr>
          <w:p>
            <w:pPr>
              <w:spacing w:after="0" w:before="0"/>
            </w:pPr>
            <w:r/>
            <w:r>
              <w:rPr>
                <w:b w:val="0"/>
                <w:i w:val="0"/>
                <w:color w:val="1A1A1A"/>
                <w:sz w:val="17"/>
              </w:rPr>
              <w:t>DSGVO, wenn Personen erkennbar sind</w:t>
            </w:r>
          </w:p>
        </w:tc>
        <w:tc>
          <w:tcPr>
            <w:tcW w:type="dxa" w:w="2721"/>
            <w:shd w:val="clear" w:color="auto" w:fill="F3EFE6"/>
          </w:tcPr>
          <w:p>
            <w:pPr>
              <w:spacing w:after="0" w:before="0"/>
            </w:pPr>
            <w:r/>
            <w:r>
              <w:rPr>
                <w:b w:val="0"/>
                <w:i w:val="0"/>
                <w:color w:val="1A1A1A"/>
                <w:sz w:val="17"/>
              </w:rPr>
              <w:t>Datenschutzgesetz</w:t>
            </w:r>
          </w:p>
        </w:tc>
      </w:tr>
      <w:tr>
        <w:trPr>
          <w:cantSplit w:val="true"/>
        </w:trPr>
        <w:tc>
          <w:tcPr>
            <w:tcW w:type="dxa" w:w="1474"/>
          </w:tcPr>
          <w:p>
            <w:pPr>
              <w:spacing w:after="0" w:before="0"/>
            </w:pPr>
            <w:r/>
            <w:r>
              <w:rPr>
                <w:b w:val="0"/>
                <w:i w:val="0"/>
                <w:color w:val="1A1A1A"/>
                <w:sz w:val="17"/>
              </w:rPr>
              <w:t>Unterweisung nach geänderten Abläufen</w:t>
            </w:r>
          </w:p>
        </w:tc>
        <w:tc>
          <w:tcPr>
            <w:tcW w:type="dxa" w:w="2721"/>
          </w:tcPr>
          <w:p>
            <w:pPr>
              <w:spacing w:after="0" w:before="0"/>
            </w:pPr>
            <w:r/>
            <w:r>
              <w:rPr>
                <w:b w:val="0"/>
                <w:i w:val="0"/>
                <w:color w:val="1A1A1A"/>
                <w:sz w:val="17"/>
              </w:rPr>
              <w:t>§ 12 ArbSchG</w:t>
            </w:r>
          </w:p>
        </w:tc>
        <w:tc>
          <w:tcPr>
            <w:tcW w:type="dxa" w:w="2721"/>
          </w:tcPr>
          <w:p>
            <w:pPr>
              <w:spacing w:after="0" w:before="0"/>
            </w:pPr>
            <w:r/>
            <w:r>
              <w:rPr>
                <w:b w:val="0"/>
                <w:i w:val="0"/>
                <w:color w:val="1A1A1A"/>
                <w:sz w:val="17"/>
              </w:rPr>
              <w:t>§ 14 ASchG</w:t>
            </w:r>
          </w:p>
        </w:tc>
        <w:tc>
          <w:tcPr>
            <w:tcW w:type="dxa" w:w="2721"/>
          </w:tcPr>
          <w:p>
            <w:pPr>
              <w:spacing w:after="0" w:before="0"/>
            </w:pPr>
            <w:r/>
            <w:r>
              <w:rPr>
                <w:b w:val="0"/>
                <w:i w:val="0"/>
                <w:color w:val="1A1A1A"/>
                <w:sz w:val="17"/>
              </w:rPr>
              <w:t>Art. 6 VUV</w:t>
            </w:r>
          </w:p>
        </w:tc>
      </w:tr>
      <w:tr>
        <w:trPr>
          <w:cantSplit w:val="true"/>
        </w:trPr>
        <w:tc>
          <w:tcPr>
            <w:tcW w:type="dxa" w:w="1474"/>
            <w:shd w:val="clear" w:color="auto" w:fill="F3EFE6"/>
          </w:tcPr>
          <w:p>
            <w:pPr>
              <w:spacing w:after="0" w:before="0"/>
            </w:pPr>
            <w:r/>
            <w:r>
              <w:rPr>
                <w:b w:val="0"/>
                <w:i w:val="0"/>
                <w:color w:val="1A1A1A"/>
                <w:sz w:val="17"/>
              </w:rPr>
              <w:t>Selbsterklärung und Aussagen nach außen</w:t>
            </w:r>
          </w:p>
        </w:tc>
        <w:tc>
          <w:tcPr>
            <w:tcW w:type="dxa" w:w="2721"/>
            <w:shd w:val="clear" w:color="auto" w:fill="F3EFE6"/>
          </w:tcPr>
          <w:p>
            <w:pPr>
              <w:spacing w:after="0" w:before="0"/>
            </w:pPr>
            <w:r/>
            <w:r>
              <w:rPr>
                <w:b w:val="0"/>
                <w:i w:val="0"/>
                <w:color w:val="1A1A1A"/>
                <w:sz w:val="17"/>
              </w:rPr>
              <w:t>gegenüber Verbrauchern Regeln zu Umweltaussagen ab 27. September 2026; Irreführungsverbot immer</w:t>
            </w:r>
          </w:p>
        </w:tc>
        <w:tc>
          <w:tcPr>
            <w:tcW w:type="dxa" w:w="2721"/>
            <w:shd w:val="clear" w:color="auto" w:fill="F3EFE6"/>
          </w:tcPr>
          <w:p>
            <w:pPr>
              <w:spacing w:after="0" w:before="0"/>
            </w:pPr>
            <w:r/>
            <w:r>
              <w:rPr>
                <w:b w:val="0"/>
                <w:i w:val="0"/>
                <w:color w:val="1A1A1A"/>
                <w:sz w:val="17"/>
              </w:rPr>
              <w:t>ebenso, BGBl. I Nr. 58/2026</w:t>
            </w:r>
          </w:p>
        </w:tc>
        <w:tc>
          <w:tcPr>
            <w:tcW w:type="dxa" w:w="2721"/>
            <w:shd w:val="clear" w:color="auto" w:fill="F3EFE6"/>
          </w:tcPr>
          <w:p>
            <w:pPr>
              <w:spacing w:after="0" w:before="0"/>
            </w:pPr>
            <w:r/>
            <w:r>
              <w:rPr>
                <w:b w:val="0"/>
                <w:i w:val="0"/>
                <w:color w:val="1A1A1A"/>
                <w:sz w:val="17"/>
              </w:rPr>
              <w:t>Art. 3 Abs. 1 lit. b und lit. x UWG</w:t>
            </w:r>
          </w:p>
        </w:tc>
      </w:tr>
      <w:tr>
        <w:trPr>
          <w:cantSplit w:val="true"/>
        </w:trPr>
        <w:tc>
          <w:tcPr>
            <w:tcW w:type="dxa" w:w="1474"/>
          </w:tcPr>
          <w:p>
            <w:pPr>
              <w:spacing w:after="0" w:before="0"/>
            </w:pPr>
            <w:r/>
            <w:r>
              <w:rPr>
                <w:b w:val="0"/>
                <w:i w:val="0"/>
                <w:color w:val="1A1A1A"/>
                <w:sz w:val="17"/>
              </w:rPr>
              <w:t>Akkreditierte Zertifizierung nach ISO 20121</w:t>
            </w:r>
          </w:p>
        </w:tc>
        <w:tc>
          <w:tcPr>
            <w:tcW w:type="dxa" w:w="2721"/>
          </w:tcPr>
          <w:p>
            <w:pPr>
              <w:spacing w:after="0" w:before="0"/>
            </w:pPr>
            <w:r/>
            <w:r>
              <w:rPr>
                <w:b w:val="0"/>
                <w:i w:val="0"/>
                <w:color w:val="1A1A1A"/>
                <w:sz w:val="17"/>
              </w:rPr>
              <w:t>Antrag bei der DAkkS; Entscheidung stand im September 2026 aus</w:t>
            </w:r>
          </w:p>
        </w:tc>
        <w:tc>
          <w:tcPr>
            <w:tcW w:type="dxa" w:w="2721"/>
          </w:tcPr>
          <w:p>
            <w:pPr>
              <w:spacing w:after="0" w:before="0"/>
            </w:pPr>
            <w:r/>
            <w:r>
              <w:rPr>
                <w:b w:val="0"/>
                <w:i w:val="0"/>
                <w:color w:val="1A1A1A"/>
                <w:sz w:val="17"/>
              </w:rPr>
              <w:t>keine akkreditierte Zertifizierung belegt</w:t>
            </w:r>
          </w:p>
        </w:tc>
        <w:tc>
          <w:tcPr>
            <w:tcW w:type="dxa" w:w="2721"/>
          </w:tcPr>
          <w:p>
            <w:pPr>
              <w:spacing w:after="0" w:before="0"/>
            </w:pPr>
            <w:r/>
            <w:r>
              <w:rPr>
                <w:b w:val="0"/>
                <w:i w:val="0"/>
                <w:color w:val="1A1A1A"/>
                <w:sz w:val="17"/>
              </w:rPr>
              <w:t>keine akkreditierte Zertifizierung belegt</w:t>
            </w:r>
          </w:p>
        </w:tc>
      </w:tr>
    </w:tbl>
    <w:p>
      <w:pPr>
        <w:spacing w:after="40"/>
      </w:pPr>
    </w:p>
    <w:p>
      <w:r>
        <w:rPr>
          <w:b w:val="0"/>
          <w:i w:val="0"/>
          <w:color w:val="5A5A5A"/>
          <w:sz w:val="17"/>
        </w:rPr>
        <w:t>Stand der Tabelle: 23. Oktober 2026, wie im Buch. Die laufende Fassung mit Änderungen nach diesem Stichtag steht in Band8b_Rechtsanker_DACH_laufend.xlsx. Die Tabelle ersetzt keine Prüfung der geltenden Fassung und keine Rechtsberatung im Einzelfall.</w:t>
      </w:r>
    </w:p>
    <w:p>
      <w:r>
        <w:rPr>
          <w:b w:val="0"/>
          <w:i w:val="0"/>
          <w:color w:val="5A5A5A"/>
          <w:sz w:val="17"/>
        </w:rPr>
        <w:t>Quelle: Francesco Dore, Das Steuer und die Lupe, Band 8b «Ein Fest prüfen, solange es stattfindet», Abschnitt 3.15. Edizioni Effedore, 2026.</w:t>
      </w:r>
    </w:p>
    <w:sectPr w:rsidR="00FC693F" w:rsidRPr="0006063C" w:rsidSect="00034616">
      <w:footerReference w:type="default" r:id="rId9"/>
      <w:head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5A5A5A"/>
        <w:sz w:val="15"/>
      </w:rPr>
      <w:t xml:space="preserve">Arbeitsmaterial 3.15 · Edizioni Effedore · buecher.effedore.com · Arbeitshilfe, keine Rechtsberatung  ·  Seite </w:t>
    </w:r>
    <w:r>
      <w:rPr>
        <w:color w:val="5A5A5A"/>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
      <w:rPr>
        <w:color w:val="8C5A2B"/>
        <w:sz w:val="15"/>
      </w:rPr>
      <w:t>Das Steuer und die Lupe · Band 8b · ISO 20121 — Ein Fest prüfen, solange es stattfindet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eastAsia="Aptos"/>
      <w:color w:val="1A1A1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80"/>
      <w:outlineLvl w:val="0"/>
    </w:pPr>
    <w:rPr>
      <w:rFonts w:asciiTheme="" w:eastAsiaTheme="majorEastAsia" w:hAnsiTheme="majorHAnsi" w:cstheme="majorBidi" w:ascii="Aptos" w:hAnsi="Aptos"/>
      <w:b/>
      <w:bCs/>
      <w:color w:val="8C5A2B"/>
      <w:sz w:val="36"/>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 w:eastAsiaTheme="majorEastAsia" w:hAnsiTheme="majorHAnsi" w:cstheme="majorBidi" w:ascii="Aptos" w:hAnsi="Aptos"/>
      <w:b/>
      <w:bCs/>
      <w:color w:val="8C5A2B"/>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Arbeitsmaterial 3.15 — Eine Auditkultur aufbauen</dc:title>
  <dc:subject/>
  <dc:creator>Francesco Dore</dc:creator>
  <cp:keywords/>
  <dc:description>generated by python-docx</dc:description>
  <cp:lastModifiedBy/>
  <cp:revision>1</cp:revision>
  <dcterms:created xsi:type="dcterms:W3CDTF">2013-12-23T23:15:00Z</dcterms:created>
  <dcterms:modified xsi:type="dcterms:W3CDTF">2013-12-23T23:15:00Z</dcterms:modified>
  <cp:category/>
</cp:coreProperties>
</file>