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3.2</w:t>
      </w:r>
    </w:p>
    <w:p>
      <w:pPr>
        <w:pStyle w:val="Heading1"/>
      </w:pPr>
      <w:r>
        <w:t>Die Kompetenz interner Auditoren festlegen und belegen</w:t>
      </w:r>
    </w:p>
    <w:p>
      <w:pPr>
        <w:spacing w:after="0"/>
      </w:pPr>
      <w:r>
        <w:rPr>
          <w:b w:val="0"/>
          <w:i/>
          <w:color w:val="5A5A5A"/>
        </w:rPr>
        <w:t>Abschnitt 3.2 · Kompetenz des Auditors: Norm, Veranstaltungsbetrieb und Recht</w:t>
      </w:r>
    </w:p>
    <w:p>
      <w:pPr>
        <w:spacing w:after="160"/>
      </w:pPr>
      <w:r>
        <w:rPr>
          <w:b w:val="0"/>
          <w:i w:val="0"/>
          <w:color w:val="5A5A5A"/>
          <w:sz w:val="18"/>
        </w:rPr>
        <w:t>Modellfall im Buch: Aachen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Was muss in Ihrem Haus jemand wissen, um zu erkennen, dass ein sauber ausgefülltes Bankettformular nichts über die Kaffeepause aussagt? Und könnten Sie belegen, dass Ihre internen Auditoren es wissen, oder nur, dass sie einen Kurs besucht haben?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Das Kompetenzprofil des Hauses für interne Auditoren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Bereich</w:t>
            </w:r>
          </w:p>
        </w:tc>
        <w:tc>
          <w:tcPr>
            <w:tcW w:type="dxa" w:w="3213"/>
            <w:shd w:val="clear" w:color="auto" w:fill="8C5A2B"/>
          </w:tcPr>
          <w:p>
            <w:pPr>
              <w:spacing w:after="0" w:before="0"/>
            </w:pPr>
            <w:r/>
            <w:r>
              <w:rPr>
                <w:b/>
                <w:i w:val="0"/>
                <w:color w:val="FFFFFF"/>
                <w:sz w:val="18"/>
              </w:rPr>
              <w:t>Was der Auditor können muss</w:t>
            </w:r>
          </w:p>
        </w:tc>
        <w:tc>
          <w:tcPr>
            <w:tcW w:type="dxa" w:w="3213"/>
            <w:shd w:val="clear" w:color="auto" w:fill="8C5A2B"/>
          </w:tcPr>
          <w:p>
            <w:pPr>
              <w:spacing w:after="0" w:before="0"/>
            </w:pPr>
            <w:r/>
            <w:r>
              <w:rPr>
                <w:b/>
                <w:i w:val="0"/>
                <w:color w:val="FFFFFF"/>
                <w:sz w:val="18"/>
              </w:rPr>
              <w:t>Wie das Haus es belegt</w:t>
            </w:r>
          </w:p>
        </w:tc>
      </w:tr>
      <w:tr>
        <w:trPr>
          <w:cantSplit w:val="true"/>
        </w:trPr>
        <w:tc>
          <w:tcPr>
            <w:tcW w:type="dxa" w:w="3213"/>
          </w:tcPr>
          <w:p>
            <w:pPr>
              <w:spacing w:after="0" w:before="0"/>
            </w:pPr>
            <w:r/>
            <w:r>
              <w:rPr>
                <w:b w:val="0"/>
                <w:i w:val="0"/>
                <w:color w:val="1A1A1A"/>
                <w:sz w:val="18"/>
              </w:rPr>
              <w:t>Norm und System</w:t>
            </w:r>
          </w:p>
        </w:tc>
        <w:tc>
          <w:tcPr>
            <w:tcW w:type="dxa" w:w="3213"/>
          </w:tcPr>
          <w:p>
            <w:pPr>
              <w:spacing w:after="0" w:before="0"/>
            </w:pPr>
            <w:r/>
            <w:r>
              <w:rPr>
                <w:b w:val="0"/>
                <w:i w:val="0"/>
                <w:color w:val="1A1A1A"/>
                <w:sz w:val="18"/>
              </w:rPr>
              <w:t>Anforderungen der ISO 20121:2024 und die eigenen Festlegungen kennen und auseinanderhalten</w:t>
            </w:r>
          </w:p>
        </w:tc>
        <w:tc>
          <w:tcPr>
            <w:tcW w:type="dxa" w:w="3213"/>
          </w:tcPr>
          <w:p>
            <w:pPr>
              <w:spacing w:after="0" w:before="0"/>
            </w:pPr>
            <w:r/>
            <w:r>
              <w:rPr>
                <w:b w:val="0"/>
                <w:i w:val="0"/>
                <w:color w:val="1A1A1A"/>
                <w:sz w:val="18"/>
              </w:rPr>
              <w:t>Nachweis eines Lehrgangs; Gespräch mit der Direktorin</w:t>
            </w:r>
          </w:p>
        </w:tc>
      </w:tr>
      <w:tr>
        <w:trPr>
          <w:cantSplit w:val="true"/>
        </w:trPr>
        <w:tc>
          <w:tcPr>
            <w:tcW w:type="dxa" w:w="3213"/>
            <w:shd w:val="clear" w:color="auto" w:fill="F3EFE6"/>
          </w:tcPr>
          <w:p>
            <w:pPr>
              <w:spacing w:after="0" w:before="0"/>
            </w:pPr>
            <w:r/>
            <w:r>
              <w:rPr>
                <w:b w:val="0"/>
                <w:i w:val="0"/>
                <w:color w:val="1A1A1A"/>
                <w:sz w:val="18"/>
              </w:rPr>
              <w:t>Veranstaltungsbetrieb</w:t>
            </w:r>
          </w:p>
        </w:tc>
        <w:tc>
          <w:tcPr>
            <w:tcW w:type="dxa" w:w="3213"/>
            <w:shd w:val="clear" w:color="auto" w:fill="F3EFE6"/>
          </w:tcPr>
          <w:p>
            <w:pPr>
              <w:spacing w:after="0" w:before="0"/>
            </w:pPr>
            <w:r/>
            <w:r>
              <w:rPr>
                <w:b w:val="0"/>
                <w:i w:val="0"/>
                <w:color w:val="1A1A1A"/>
                <w:sz w:val="18"/>
              </w:rPr>
              <w:t>Bankettformular, Spülküche, Kaffeestation, Abbau und Agenturkräfte aus eigener Anschauung kennen</w:t>
            </w:r>
          </w:p>
        </w:tc>
        <w:tc>
          <w:tcPr>
            <w:tcW w:type="dxa" w:w="3213"/>
            <w:shd w:val="clear" w:color="auto" w:fill="F3EFE6"/>
          </w:tcPr>
          <w:p>
            <w:pPr>
              <w:spacing w:after="0" w:before="0"/>
            </w:pPr>
            <w:r/>
            <w:r>
              <w:rPr>
                <w:b w:val="0"/>
                <w:i w:val="0"/>
                <w:color w:val="1A1A1A"/>
                <w:sz w:val="18"/>
              </w:rPr>
              <w:t>Liste begleiteter Schichten oder eigene Jahre im Bankett</w:t>
            </w:r>
          </w:p>
        </w:tc>
      </w:tr>
      <w:tr>
        <w:trPr>
          <w:cantSplit w:val="true"/>
        </w:trPr>
        <w:tc>
          <w:tcPr>
            <w:tcW w:type="dxa" w:w="3213"/>
          </w:tcPr>
          <w:p>
            <w:pPr>
              <w:spacing w:after="0" w:before="0"/>
            </w:pPr>
            <w:r/>
            <w:r>
              <w:rPr>
                <w:b w:val="0"/>
                <w:i w:val="0"/>
                <w:color w:val="1A1A1A"/>
                <w:sz w:val="18"/>
              </w:rPr>
              <w:t>Recht im Groben</w:t>
            </w:r>
          </w:p>
        </w:tc>
        <w:tc>
          <w:tcPr>
            <w:tcW w:type="dxa" w:w="3213"/>
          </w:tcPr>
          <w:p>
            <w:pPr>
              <w:spacing w:after="0" w:before="0"/>
            </w:pPr>
            <w:r/>
            <w:r>
              <w:rPr>
                <w:b w:val="0"/>
                <w:i w:val="0"/>
                <w:color w:val="1A1A1A"/>
                <w:sz w:val="18"/>
              </w:rPr>
              <w:t>erkennen, wo eine Festlegung zugleich Rechtspflicht ist; Rechtskataster lesen</w:t>
            </w:r>
          </w:p>
        </w:tc>
        <w:tc>
          <w:tcPr>
            <w:tcW w:type="dxa" w:w="3213"/>
          </w:tcPr>
          <w:p>
            <w:pPr>
              <w:spacing w:after="0" w:before="0"/>
            </w:pPr>
            <w:r/>
            <w:r>
              <w:rPr>
                <w:b w:val="0"/>
                <w:i w:val="0"/>
                <w:color w:val="1A1A1A"/>
                <w:sz w:val="18"/>
              </w:rPr>
              <w:t>Durchsicht des Katasters mit der Direktorin</w:t>
            </w:r>
          </w:p>
        </w:tc>
      </w:tr>
      <w:tr>
        <w:trPr>
          <w:cantSplit w:val="true"/>
        </w:trPr>
        <w:tc>
          <w:tcPr>
            <w:tcW w:type="dxa" w:w="3213"/>
            <w:shd w:val="clear" w:color="auto" w:fill="F3EFE6"/>
          </w:tcPr>
          <w:p>
            <w:pPr>
              <w:spacing w:after="0" w:before="0"/>
            </w:pPr>
            <w:r/>
            <w:r>
              <w:rPr>
                <w:b w:val="0"/>
                <w:i w:val="0"/>
                <w:color w:val="1A1A1A"/>
                <w:sz w:val="18"/>
              </w:rPr>
              <w:t>Gesprächsführung und Methode</w:t>
            </w:r>
          </w:p>
        </w:tc>
        <w:tc>
          <w:tcPr>
            <w:tcW w:type="dxa" w:w="3213"/>
            <w:shd w:val="clear" w:color="auto" w:fill="F3EFE6"/>
          </w:tcPr>
          <w:p>
            <w:pPr>
              <w:spacing w:after="0" w:before="0"/>
            </w:pPr>
            <w:r/>
            <w:r>
              <w:rPr>
                <w:b w:val="0"/>
                <w:i w:val="0"/>
                <w:color w:val="1A1A1A"/>
                <w:sz w:val="18"/>
              </w:rPr>
              <w:t>offen fragen, mit allen Schichten sprechen, Stichprobe begründen, Feststellung schreiben</w:t>
            </w:r>
          </w:p>
        </w:tc>
        <w:tc>
          <w:tcPr>
            <w:tcW w:type="dxa" w:w="3213"/>
            <w:shd w:val="clear" w:color="auto" w:fill="F3EFE6"/>
          </w:tcPr>
          <w:p>
            <w:pPr>
              <w:spacing w:after="0" w:before="0"/>
            </w:pPr>
            <w:r/>
            <w:r>
              <w:rPr>
                <w:b w:val="0"/>
                <w:i w:val="0"/>
                <w:color w:val="1A1A1A"/>
                <w:sz w:val="18"/>
              </w:rPr>
              <w:t>Begleitaudit; Bewertung des ersten Berichts</w:t>
            </w:r>
          </w:p>
        </w:tc>
      </w:tr>
    </w:tbl>
    <w:p>
      <w:pPr>
        <w:spacing w:after="40"/>
      </w:pPr>
    </w:p>
    <w:p>
      <w:pPr>
        <w:pStyle w:val="Heading2"/>
      </w:pPr>
      <w:r>
        <w:t>Praktische Anwendung: die Kompetenz interner Auditoren in sieben Schritten festlegen und belegen</w:t>
      </w:r>
    </w:p>
    <w:p>
      <w:pPr>
        <w:tabs>
          <w:tab w:pos="340" w:val="left"/>
        </w:tabs>
        <w:ind w:left="340" w:hanging="340"/>
      </w:pPr>
      <w:r>
        <w:rPr>
          <w:b/>
          <w:color w:val="8C5A2B"/>
        </w:rPr>
        <w:t>1.</w:t>
        <w:tab/>
      </w:r>
      <w:r>
        <w:rPr>
          <w:b/>
        </w:rPr>
        <w:t>Das Profil auf eine Seite schreiben.</w:t>
      </w:r>
      <w:r>
        <w:t xml:space="preserve"> Norm und System, Veranstaltungsbetrieb, Recht im Groben, Gesprächsführung und Methode. Für jeden Bereich ein Satz, was der Auditor können muss.</w:t>
      </w:r>
    </w:p>
    <w:p>
      <w:pPr>
        <w:tabs>
          <w:tab w:pos="340" w:val="left"/>
        </w:tabs>
        <w:ind w:left="340" w:hanging="340"/>
      </w:pPr>
      <w:r>
        <w:rPr>
          <w:b/>
          <w:color w:val="8C5A2B"/>
        </w:rPr>
        <w:t>2.</w:t>
        <w:tab/>
      </w:r>
      <w:r>
        <w:rPr>
          <w:b/>
        </w:rPr>
        <w:t>Jeden Kandidaten am Profil messen.</w:t>
      </w:r>
      <w:r>
        <w:t xml:space="preserve"> Halten Sie Stärken und Lücken fest, auch beim Kandidaten mit Zertifikat. Ein Lehrgang belegt einen Bereich, nicht vier.</w:t>
      </w:r>
    </w:p>
    <w:p>
      <w:pPr>
        <w:tabs>
          <w:tab w:pos="340" w:val="left"/>
        </w:tabs>
        <w:ind w:left="340" w:hanging="340"/>
      </w:pPr>
      <w:r>
        <w:rPr>
          <w:b/>
          <w:color w:val="8C5A2B"/>
        </w:rPr>
        <w:t>3.</w:t>
        <w:tab/>
      </w:r>
      <w:r>
        <w:rPr>
          <w:b/>
        </w:rPr>
        <w:t>Lücken mit dem passenden Mittel schließen.</w:t>
      </w:r>
      <w:r>
        <w:t xml:space="preserve"> Die Norm im Lehrgang, den Betrieb in begleiteten Schichten, das Recht am eigenen Kataster. Für jede Lücke steht ein Termin im Plan.</w:t>
      </w:r>
    </w:p>
    <w:p>
      <w:pPr>
        <w:tabs>
          <w:tab w:pos="340" w:val="left"/>
        </w:tabs>
        <w:ind w:left="340" w:hanging="340"/>
      </w:pPr>
      <w:r>
        <w:rPr>
          <w:b/>
          <w:color w:val="8C5A2B"/>
        </w:rPr>
        <w:t>4.</w:t>
        <w:tab/>
      </w:r>
      <w:r>
        <w:rPr>
          <w:b/>
        </w:rPr>
        <w:t>Im Kreuzaudit zuordnen.</w:t>
      </w:r>
      <w:r>
        <w:t xml:space="preserve"> Legen Sie fest, wer welchen Bereich prüft, sodass niemand die eigene Arbeit prüft (3.1). Stärken des einen gleichen Lücken des anderen aus.</w:t>
      </w:r>
    </w:p>
    <w:p>
      <w:pPr>
        <w:tabs>
          <w:tab w:pos="340" w:val="left"/>
        </w:tabs>
        <w:ind w:left="340" w:hanging="340"/>
      </w:pPr>
      <w:r>
        <w:rPr>
          <w:b/>
          <w:color w:val="8C5A2B"/>
        </w:rPr>
        <w:t>5.</w:t>
        <w:tab/>
      </w:r>
      <w:r>
        <w:rPr>
          <w:b/>
        </w:rPr>
        <w:t>Das erste Audit begleiten lassen.</w:t>
      </w:r>
      <w:r>
        <w:t xml:space="preserve"> Beim ersten Mal gehen beide gemeinsam, und jeder sieht, wie der andere fragt. Der Begleiter schreibt keine Feststellungen.</w:t>
      </w:r>
    </w:p>
    <w:p>
      <w:pPr>
        <w:tabs>
          <w:tab w:pos="340" w:val="left"/>
        </w:tabs>
        <w:ind w:left="340" w:hanging="340"/>
      </w:pPr>
      <w:r>
        <w:rPr>
          <w:b/>
          <w:color w:val="8C5A2B"/>
        </w:rPr>
        <w:t>6.</w:t>
        <w:tab/>
      </w:r>
      <w:r>
        <w:rPr>
          <w:b/>
        </w:rPr>
        <w:t>Die Wirksamkeit am Bericht prüfen.</w:t>
      </w:r>
      <w:r>
        <w:t xml:space="preserve"> Die Leitung liest den ersten Bericht mit einer Frage: Hat jede Feststellung ein Kriterium, einen Nachweis und einen Schluss (3.10)? Wo nicht, folgt die nächste Maßnahme.</w:t>
      </w:r>
    </w:p>
    <w:p>
      <w:pPr>
        <w:tabs>
          <w:tab w:pos="340" w:val="left"/>
        </w:tabs>
        <w:ind w:left="340" w:hanging="340"/>
      </w:pPr>
      <w:r>
        <w:rPr>
          <w:b/>
          <w:color w:val="8C5A2B"/>
        </w:rPr>
        <w:t>7.</w:t>
        <w:tab/>
      </w:r>
      <w:r>
        <w:rPr>
          <w:b/>
        </w:rPr>
        <w:t>Die Akte führen und erneuern.</w:t>
      </w:r>
      <w:r>
        <w:t xml:space="preserve"> Je Auditor liegen Profil, Bewertung und Nachweise an einem Ort. Ändern sich Norm, System oder Betrieb, wird das Profil neu gelesen.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Das Profil auf eine Seite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Jeden Kandidaten am Profil messen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Lücken mit dem passenden Mittel schließen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Im Kreuzaudit zuordnen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Das erste Audit begleiten lassen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Wirksamkeit am Bericht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Die Akte führen und erneuern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schriftlich festgelegt, was ein interner Auditor unseres Systems können muss?</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Umfasst das Profil Norm, Veranstaltungsbetrieb, Recht im Groben und Gesprächsführung?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Haben wir jeden Auditor am Profil gemessen, auch den mit Zertifikat?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Kennt jeder Auditor Aufbau, Service, Abbau und Kaffeestation aus eigener Anschauung?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Erkennt er, wo hinter einer Festlegung eine Rechtspflicht steht?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Spricht er auch mit Aushilfen und Agenturkräften?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die Leitung den letzten Bericht auf Kriterium, Nachweis und Schluss gelesen?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Liegen Profil, Bewertung und Nachweise je Auditor an einem Ort?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Den Auditor nach dem Zertifikat wählen.</w:t>
      </w:r>
      <w:r>
        <w:t xml:space="preserve"> Der Lehrgang belegt das Handwerk, nicht die Kenntnis des Hauses.</w:t>
      </w:r>
    </w:p>
    <w:p>
      <w:pPr>
        <w:tabs>
          <w:tab w:pos="340" w:val="left"/>
        </w:tabs>
        <w:ind w:left="340" w:hanging="340"/>
      </w:pPr>
      <w:r>
        <w:rPr>
          <w:color w:val="8C5A2B"/>
        </w:rPr>
        <w:t>–</w:t>
        <w:tab/>
      </w:r>
      <w:r>
        <w:rPr>
          <w:b/>
        </w:rPr>
        <w:t>Vollständigkeit für Wirksamkeit halten.</w:t>
      </w:r>
      <w:r>
        <w:t xml:space="preserve"> Ein ausgefülltes Feld sagt nichts darüber, was im Foyer geschieht.</w:t>
      </w:r>
    </w:p>
    <w:p>
      <w:pPr>
        <w:tabs>
          <w:tab w:pos="340" w:val="left"/>
        </w:tabs>
        <w:ind w:left="340" w:hanging="340"/>
      </w:pPr>
      <w:r>
        <w:rPr>
          <w:color w:val="8C5A2B"/>
        </w:rPr>
        <w:t>–</w:t>
        <w:tab/>
      </w:r>
      <w:r>
        <w:rPr>
          <w:b/>
        </w:rPr>
        <w:t>Nur mit Leitungen sprechen.</w:t>
      </w:r>
      <w:r>
        <w:t xml:space="preserve"> Wer nur die Verfasser des Verfahrens fragt, hört das Verfahren.</w:t>
      </w:r>
    </w:p>
    <w:p>
      <w:pPr>
        <w:tabs>
          <w:tab w:pos="340" w:val="left"/>
        </w:tabs>
        <w:ind w:left="340" w:hanging="340"/>
      </w:pPr>
      <w:r>
        <w:rPr>
          <w:color w:val="8C5A2B"/>
        </w:rPr>
        <w:t>–</w:t>
        <w:tab/>
      </w:r>
      <w:r>
        <w:rPr>
          <w:b/>
        </w:rPr>
        <w:t>Betriebswissen übersehen, weil es kein Zertifikat hat.</w:t>
      </w:r>
      <w:r>
        <w:t xml:space="preserve"> Die beste Kennerin des Ablaufs steht oft am Empfang.</w:t>
      </w:r>
    </w:p>
    <w:p>
      <w:pPr>
        <w:tabs>
          <w:tab w:pos="340" w:val="left"/>
        </w:tabs>
        <w:ind w:left="340" w:hanging="340"/>
      </w:pPr>
      <w:r>
        <w:rPr>
          <w:color w:val="8C5A2B"/>
        </w:rPr>
        <w:t>–</w:t>
        <w:tab/>
      </w:r>
      <w:r>
        <w:rPr>
          <w:b/>
        </w:rPr>
        <w:t>Das Recht dem Juristen überlassen.</w:t>
      </w:r>
      <w:r>
        <w:t xml:space="preserve"> Der Auditor muss es nicht beurteilen, aber erkennen.</w:t>
      </w:r>
    </w:p>
    <w:p>
      <w:pPr>
        <w:tabs>
          <w:tab w:pos="340" w:val="left"/>
        </w:tabs>
        <w:ind w:left="340" w:hanging="340"/>
      </w:pPr>
      <w:r>
        <w:rPr>
          <w:color w:val="8C5A2B"/>
        </w:rPr>
        <w:t>–</w:t>
        <w:tab/>
      </w:r>
      <w:r>
        <w:rPr>
          <w:b/>
        </w:rPr>
        <w:t>Den Bericht abheften statt zu lesen.</w:t>
      </w:r>
      <w:r>
        <w:t xml:space="preserve"> Ein Auditor ohne Rückmeldung erfährt nie, wo seine Kompetenz endet.</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Lehrgang ISO 20121 und Auditmethode, 2 Tage</w:t>
            </w:r>
          </w:p>
        </w:tc>
        <w:tc>
          <w:tcPr>
            <w:tcW w:type="dxa" w:w="1474"/>
          </w:tcPr>
          <w:p>
            <w:pPr>
              <w:spacing w:after="0" w:before="0"/>
            </w:pPr>
            <w:r/>
            <w:r>
              <w:rPr>
                <w:b w:val="0"/>
                <w:i w:val="0"/>
                <w:color w:val="1A1A1A"/>
                <w:sz w:val="18"/>
              </w:rPr>
              <w:t>€ 1.290</w:t>
            </w:r>
          </w:p>
        </w:tc>
        <w:tc>
          <w:tcPr>
            <w:tcW w:type="dxa" w:w="3175"/>
          </w:tcPr>
          <w:p>
            <w:pPr>
              <w:spacing w:after="0" w:before="0"/>
            </w:pPr>
            <w:r/>
            <w:r>
              <w:rPr>
                <w:b w:val="0"/>
                <w:i w:val="0"/>
                <w:color w:val="1A1A1A"/>
                <w:sz w:val="18"/>
              </w:rPr>
              <w:t>Gebühr für die Empfangschefin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Arbeitszeit im Lehrgang</w:t>
            </w:r>
          </w:p>
        </w:tc>
        <w:tc>
          <w:tcPr>
            <w:tcW w:type="dxa" w:w="1474"/>
            <w:shd w:val="clear" w:color="auto" w:fill="F3EFE6"/>
          </w:tcPr>
          <w:p>
            <w:pPr>
              <w:spacing w:after="0" w:before="0"/>
            </w:pPr>
            <w:r/>
            <w:r>
              <w:rPr>
                <w:b w:val="0"/>
                <w:i w:val="0"/>
                <w:color w:val="1A1A1A"/>
                <w:sz w:val="18"/>
              </w:rPr>
              <w:t>16 Stunden</w:t>
            </w:r>
          </w:p>
        </w:tc>
        <w:tc>
          <w:tcPr>
            <w:tcW w:type="dxa" w:w="3175"/>
            <w:shd w:val="clear" w:color="auto" w:fill="F3EFE6"/>
          </w:tcPr>
          <w:p>
            <w:pPr>
              <w:spacing w:after="0" w:before="0"/>
            </w:pPr>
            <w:r/>
            <w:r>
              <w:rPr>
                <w:b w:val="0"/>
                <w:i w:val="0"/>
                <w:color w:val="1A1A1A"/>
                <w:sz w:val="18"/>
              </w:rPr>
              <w:t>Empfangschefin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Drei begleitete Veranstaltungsschichten</w:t>
            </w:r>
          </w:p>
        </w:tc>
        <w:tc>
          <w:tcPr>
            <w:tcW w:type="dxa" w:w="1474"/>
          </w:tcPr>
          <w:p>
            <w:pPr>
              <w:spacing w:after="0" w:before="0"/>
            </w:pPr>
            <w:r/>
            <w:r>
              <w:rPr>
                <w:b w:val="0"/>
                <w:i w:val="0"/>
                <w:color w:val="1A1A1A"/>
                <w:sz w:val="18"/>
              </w:rPr>
              <w:t>26 Stunden</w:t>
            </w:r>
          </w:p>
        </w:tc>
        <w:tc>
          <w:tcPr>
            <w:tcW w:type="dxa" w:w="3175"/>
          </w:tcPr>
          <w:p>
            <w:pPr>
              <w:spacing w:after="0" w:before="0"/>
            </w:pPr>
            <w:r/>
            <w:r>
              <w:rPr>
                <w:b w:val="0"/>
                <w:i w:val="0"/>
                <w:color w:val="1A1A1A"/>
                <w:sz w:val="18"/>
              </w:rPr>
              <w:t>Qualitätsbeauftragter: Aufbau, Service bis Abbau, Morgen danach</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Begleitaudit: 2 Auditoren zu 7 Stunden</w:t>
            </w:r>
          </w:p>
        </w:tc>
        <w:tc>
          <w:tcPr>
            <w:tcW w:type="dxa" w:w="1474"/>
            <w:shd w:val="clear" w:color="auto" w:fill="F3EFE6"/>
          </w:tcPr>
          <w:p>
            <w:pPr>
              <w:spacing w:after="0" w:before="0"/>
            </w:pPr>
            <w:r/>
            <w:r>
              <w:rPr>
                <w:b w:val="0"/>
                <w:i w:val="0"/>
                <w:color w:val="1A1A1A"/>
                <w:sz w:val="18"/>
              </w:rPr>
              <w:t>14 Stunden</w:t>
            </w:r>
          </w:p>
        </w:tc>
        <w:tc>
          <w:tcPr>
            <w:tcW w:type="dxa" w:w="3175"/>
            <w:shd w:val="clear" w:color="auto" w:fill="F3EFE6"/>
          </w:tcPr>
          <w:p>
            <w:pPr>
              <w:spacing w:after="0" w:before="0"/>
            </w:pPr>
            <w:r/>
            <w:r>
              <w:rPr>
                <w:b w:val="0"/>
                <w:i w:val="0"/>
                <w:color w:val="1A1A1A"/>
                <w:sz w:val="18"/>
              </w:rPr>
              <w:t>gegenseitig, je ein Bereich</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Profil, Bewertung, Durchsicht der Berichte</w:t>
            </w:r>
          </w:p>
        </w:tc>
        <w:tc>
          <w:tcPr>
            <w:tcW w:type="dxa" w:w="1474"/>
          </w:tcPr>
          <w:p>
            <w:pPr>
              <w:spacing w:after="0" w:before="0"/>
            </w:pPr>
            <w:r/>
            <w:r>
              <w:rPr>
                <w:b w:val="0"/>
                <w:i w:val="0"/>
                <w:color w:val="1A1A1A"/>
                <w:sz w:val="18"/>
              </w:rPr>
              <w:t>6 Stunden</w:t>
            </w:r>
          </w:p>
        </w:tc>
        <w:tc>
          <w:tcPr>
            <w:tcW w:type="dxa" w:w="3175"/>
          </w:tcPr>
          <w:p>
            <w:pPr>
              <w:spacing w:after="0" w:before="0"/>
            </w:pPr>
            <w:r/>
            <w:r>
              <w:rPr>
                <w:b w:val="0"/>
                <w:i w:val="0"/>
                <w:color w:val="1A1A1A"/>
                <w:sz w:val="18"/>
              </w:rPr>
              <w:t>Direktorin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Zusätzliche Tassen für die Kaffeestation: 200 zu € 3,60</w:t>
            </w:r>
          </w:p>
        </w:tc>
        <w:tc>
          <w:tcPr>
            <w:tcW w:type="dxa" w:w="1474"/>
            <w:shd w:val="clear" w:color="auto" w:fill="F3EFE6"/>
          </w:tcPr>
          <w:p>
            <w:pPr>
              <w:spacing w:after="0" w:before="0"/>
            </w:pPr>
            <w:r/>
            <w:r>
              <w:rPr>
                <w:b w:val="0"/>
                <w:i w:val="0"/>
                <w:color w:val="1A1A1A"/>
                <w:sz w:val="18"/>
              </w:rPr>
              <w:t>€ 720</w:t>
            </w:r>
          </w:p>
        </w:tc>
        <w:tc>
          <w:tcPr>
            <w:tcW w:type="dxa" w:w="3175"/>
            <w:shd w:val="clear" w:color="auto" w:fill="F3EFE6"/>
          </w:tcPr>
          <w:p>
            <w:pPr>
              <w:spacing w:after="0" w:before="0"/>
            </w:pPr>
            <w:r/>
            <w:r>
              <w:rPr>
                <w:b w:val="0"/>
                <w:i w:val="0"/>
                <w:color w:val="1A1A1A"/>
                <w:sz w:val="18"/>
              </w:rPr>
              <w:t>einmalig; Abhilfe für die Ursache des Falls</w:t>
            </w:r>
          </w:p>
        </w:tc>
        <w:tc>
          <w:tcPr>
            <w:tcW w:type="dxa" w:w="1814"/>
            <w:shd w:val="clear" w:color="auto" w:fill="F3EFE6"/>
          </w:tcPr>
          <w:p>
            <w:pPr>
              <w:spacing w:after="0" w:before="0"/>
            </w:pPr>
            <w:r/>
            <w:r>
              <w:rPr>
                <w:b w:val="0"/>
                <w:i w:val="0"/>
                <w:color w:val="1A1A1A"/>
                <w:sz w:val="18"/>
              </w:rPr>
            </w:r>
          </w:p>
        </w:tc>
      </w:tr>
    </w:tbl>
    <w:p>
      <w:pPr>
        <w:spacing w:after="40"/>
      </w:pPr>
    </w:p>
    <w:p>
      <w:r>
        <w:rPr>
          <w:b w:val="0"/>
          <w:i w:val="0"/>
        </w:rPr>
        <w:t>Zweiundsechzig Stunden Arbeitszeit und gut zweitausend Euro kostet es, zwei interne Auditoren an einem Profil auszurichten; Stunden und Geld stehen getrennt, weil die Stunden aus dem laufenden Betrieb kommen. Was das Haus mit dem Brief der Fachgesellschaft riskiert hat, steht nicht in der Tabelle. Ihr Folgeauftrag wäre Umsatz, kein Gewinn, und ob er an diesem Brief hängt, weiß niemand. Sicher ist nur, dass der erste Bericht eine Zusage als erfüllt gezeigt hat, die an einer Kaffeestation regelmäßig verfehlt wurde.</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Notwendige Kompetenz bestimmen (7.2 a)</w:t>
            </w:r>
          </w:p>
        </w:tc>
        <w:tc>
          <w:tcPr>
            <w:tcW w:type="dxa" w:w="3175"/>
          </w:tcPr>
          <w:p>
            <w:pPr>
              <w:spacing w:after="0" w:before="0"/>
            </w:pPr>
            <w:r/>
            <w:r>
              <w:rPr>
                <w:b w:val="0"/>
                <w:i w:val="0"/>
                <w:color w:val="1A1A1A"/>
                <w:sz w:val="18"/>
              </w:rPr>
              <w:t>Kompetenzprofil für interne Auditoren, eine Seite</w:t>
            </w:r>
          </w:p>
        </w:tc>
        <w:tc>
          <w:tcPr>
            <w:tcW w:type="dxa" w:w="3175"/>
          </w:tcPr>
          <w:p>
            <w:pPr>
              <w:spacing w:after="0" w:before="0"/>
            </w:pPr>
            <w:r/>
            <w:r>
              <w:rPr>
                <w:b w:val="0"/>
                <w:i w:val="0"/>
                <w:color w:val="1A1A1A"/>
                <w:sz w:val="18"/>
              </w:rPr>
              <w:t>Methode: drei Inhalte und ein Handwerk</w:t>
            </w:r>
          </w:p>
        </w:tc>
      </w:tr>
      <w:tr>
        <w:trPr>
          <w:cantSplit w:val="true"/>
        </w:trPr>
        <w:tc>
          <w:tcPr>
            <w:tcW w:type="dxa" w:w="3288"/>
            <w:shd w:val="clear" w:color="auto" w:fill="F3EFE6"/>
          </w:tcPr>
          <w:p>
            <w:pPr>
              <w:spacing w:after="0" w:before="0"/>
            </w:pPr>
            <w:r/>
            <w:r>
              <w:rPr>
                <w:b w:val="0"/>
                <w:i w:val="0"/>
                <w:color w:val="1A1A1A"/>
                <w:sz w:val="18"/>
              </w:rPr>
              <w:t>Kompetenz durch Ausbildung, Schulung oder Erfahrung sicherstellen (7.2 b)</w:t>
            </w:r>
          </w:p>
        </w:tc>
        <w:tc>
          <w:tcPr>
            <w:tcW w:type="dxa" w:w="3175"/>
            <w:shd w:val="clear" w:color="auto" w:fill="F3EFE6"/>
          </w:tcPr>
          <w:p>
            <w:pPr>
              <w:spacing w:after="0" w:before="0"/>
            </w:pPr>
            <w:r/>
            <w:r>
              <w:rPr>
                <w:b w:val="0"/>
                <w:i w:val="0"/>
                <w:color w:val="1A1A1A"/>
                <w:sz w:val="18"/>
              </w:rPr>
              <w:t>Nachweis des Lehrgangs; Liste begleiteter Schichten</w:t>
            </w:r>
          </w:p>
        </w:tc>
        <w:tc>
          <w:tcPr>
            <w:tcW w:type="dxa" w:w="3175"/>
            <w:shd w:val="clear" w:color="auto" w:fill="F3EFE6"/>
          </w:tcPr>
          <w:p>
            <w:pPr>
              <w:spacing w:after="0" w:before="0"/>
            </w:pPr>
            <w:r/>
            <w:r>
              <w:rPr>
                <w:b w:val="0"/>
                <w:i w:val="0"/>
                <w:color w:val="1A1A1A"/>
                <w:sz w:val="18"/>
              </w:rPr>
              <w:t>ISO 19011: Verhalten, Wissen, Fertigkeiten, Ausbildung, Erfahrung</w:t>
            </w:r>
          </w:p>
        </w:tc>
      </w:tr>
      <w:tr>
        <w:trPr>
          <w:cantSplit w:val="true"/>
        </w:trPr>
        <w:tc>
          <w:tcPr>
            <w:tcW w:type="dxa" w:w="3288"/>
          </w:tcPr>
          <w:p>
            <w:pPr>
              <w:spacing w:after="0" w:before="0"/>
            </w:pPr>
            <w:r/>
            <w:r>
              <w:rPr>
                <w:b w:val="0"/>
                <w:i w:val="0"/>
                <w:color w:val="1A1A1A"/>
                <w:sz w:val="18"/>
              </w:rPr>
              <w:t>Maßnahmen ergreifen, Wirksamkeit bewerten (7.2 c)</w:t>
            </w:r>
          </w:p>
        </w:tc>
        <w:tc>
          <w:tcPr>
            <w:tcW w:type="dxa" w:w="3175"/>
          </w:tcPr>
          <w:p>
            <w:pPr>
              <w:spacing w:after="0" w:before="0"/>
            </w:pPr>
            <w:r/>
            <w:r>
              <w:rPr>
                <w:b w:val="0"/>
                <w:i w:val="0"/>
                <w:color w:val="1A1A1A"/>
                <w:sz w:val="18"/>
              </w:rPr>
              <w:t>Bewertung des ersten Berichts durch die Direktorin</w:t>
            </w:r>
          </w:p>
        </w:tc>
        <w:tc>
          <w:tcPr>
            <w:tcW w:type="dxa" w:w="3175"/>
          </w:tcPr>
          <w:p>
            <w:pPr>
              <w:spacing w:after="0" w:before="0"/>
            </w:pPr>
            <w:r/>
            <w:r>
              <w:rPr>
                <w:b w:val="0"/>
                <w:i w:val="0"/>
                <w:color w:val="1A1A1A"/>
                <w:sz w:val="18"/>
              </w:rPr>
              <w:t>Methode: Begleitaudit; Feststellungen mit Kriterium und Nachweis (3.10)</w:t>
            </w:r>
          </w:p>
        </w:tc>
      </w:tr>
      <w:tr>
        <w:trPr>
          <w:cantSplit w:val="true"/>
        </w:trPr>
        <w:tc>
          <w:tcPr>
            <w:tcW w:type="dxa" w:w="3288"/>
            <w:shd w:val="clear" w:color="auto" w:fill="F3EFE6"/>
          </w:tcPr>
          <w:p>
            <w:pPr>
              <w:spacing w:after="0" w:before="0"/>
            </w:pPr>
            <w:r/>
            <w:r>
              <w:rPr>
                <w:b w:val="0"/>
                <w:i w:val="0"/>
                <w:color w:val="1A1A1A"/>
                <w:sz w:val="18"/>
              </w:rPr>
              <w:t>Dokumentierte Information als Nachweis (7.2)</w:t>
            </w:r>
          </w:p>
        </w:tc>
        <w:tc>
          <w:tcPr>
            <w:tcW w:type="dxa" w:w="3175"/>
            <w:shd w:val="clear" w:color="auto" w:fill="F3EFE6"/>
          </w:tcPr>
          <w:p>
            <w:pPr>
              <w:spacing w:after="0" w:before="0"/>
            </w:pPr>
            <w:r/>
            <w:r>
              <w:rPr>
                <w:b w:val="0"/>
                <w:i w:val="0"/>
                <w:color w:val="1A1A1A"/>
                <w:sz w:val="18"/>
              </w:rPr>
              <w:t>Akte je Auditor: Profil, Bewertung, Nachweise</w:t>
            </w:r>
          </w:p>
        </w:tc>
        <w:tc>
          <w:tcPr>
            <w:tcW w:type="dxa" w:w="3175"/>
            <w:shd w:val="clear" w:color="auto" w:fill="F3EFE6"/>
          </w:tcPr>
          <w:p>
            <w:pPr>
              <w:spacing w:after="0" w:before="0"/>
            </w:pPr>
            <w:r/>
            <w:r>
              <w:rPr>
                <w:b w:val="0"/>
                <w:i w:val="0"/>
                <w:color w:val="1A1A1A"/>
                <w:sz w:val="18"/>
              </w:rPr>
              <w:t>ISO 19011: Kompetenz laufend erhalten</w:t>
            </w:r>
          </w:p>
        </w:tc>
      </w:tr>
      <w:tr>
        <w:trPr>
          <w:cantSplit w:val="true"/>
        </w:trPr>
        <w:tc>
          <w:tcPr>
            <w:tcW w:type="dxa" w:w="3288"/>
          </w:tcPr>
          <w:p>
            <w:pPr>
              <w:spacing w:after="0" w:before="0"/>
            </w:pPr>
            <w:r/>
            <w:r>
              <w:rPr>
                <w:b w:val="0"/>
                <w:i w:val="0"/>
                <w:color w:val="1A1A1A"/>
                <w:sz w:val="18"/>
              </w:rPr>
              <w:t>Auswahl für Objektivität und Unparteilichkeit (9.2.2)</w:t>
            </w:r>
          </w:p>
        </w:tc>
        <w:tc>
          <w:tcPr>
            <w:tcW w:type="dxa" w:w="3175"/>
          </w:tcPr>
          <w:p>
            <w:pPr>
              <w:spacing w:after="0" w:before="0"/>
            </w:pPr>
            <w:r/>
            <w:r>
              <w:rPr>
                <w:b w:val="0"/>
                <w:i w:val="0"/>
                <w:color w:val="1A1A1A"/>
                <w:sz w:val="18"/>
              </w:rPr>
              <w:t>Zuordnung im Kreuzaudit: wer prüft welchen Bereich</w:t>
            </w:r>
          </w:p>
        </w:tc>
        <w:tc>
          <w:tcPr>
            <w:tcW w:type="dxa" w:w="3175"/>
          </w:tcPr>
          <w:p>
            <w:pPr>
              <w:spacing w:after="0" w:before="0"/>
            </w:pPr>
            <w:r/>
            <w:r>
              <w:rPr>
                <w:b w:val="0"/>
                <w:i w:val="0"/>
                <w:color w:val="1A1A1A"/>
                <w:sz w:val="18"/>
              </w:rPr>
              <w:t>A.21: kompetent und unparteiisch</w:t>
            </w:r>
          </w:p>
        </w:tc>
      </w:tr>
    </w:tbl>
    <w:p>
      <w:pPr>
        <w:spacing w:after="40"/>
      </w:pPr>
    </w:p>
    <w:p>
      <w:pPr>
        <w:pStyle w:val="Heading2"/>
      </w:pPr>
      <w:r>
        <w:t>DACH-Anker: was ein interner Auditor im Groben kennen muss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Befähigung interner Auditoren</w:t>
            </w:r>
          </w:p>
        </w:tc>
        <w:tc>
          <w:tcPr>
            <w:tcW w:type="dxa" w:w="2721"/>
          </w:tcPr>
          <w:p>
            <w:pPr>
              <w:spacing w:after="0" w:before="0"/>
            </w:pPr>
            <w:r/>
            <w:r>
              <w:rPr>
                <w:b w:val="0"/>
                <w:i w:val="0"/>
                <w:color w:val="1A1A1A"/>
                <w:sz w:val="17"/>
              </w:rPr>
              <w:t>keine gesetzliche Vorgabe</w:t>
            </w:r>
          </w:p>
        </w:tc>
        <w:tc>
          <w:tcPr>
            <w:tcW w:type="dxa" w:w="2721"/>
          </w:tcPr>
          <w:p>
            <w:pPr>
              <w:spacing w:after="0" w:before="0"/>
            </w:pPr>
            <w:r/>
            <w:r>
              <w:rPr>
                <w:b w:val="0"/>
                <w:i w:val="0"/>
                <w:color w:val="1A1A1A"/>
                <w:sz w:val="17"/>
              </w:rPr>
              <w:t>keine gesetzliche Vorgabe</w:t>
            </w:r>
          </w:p>
        </w:tc>
        <w:tc>
          <w:tcPr>
            <w:tcW w:type="dxa" w:w="2721"/>
          </w:tcPr>
          <w:p>
            <w:pPr>
              <w:spacing w:after="0" w:before="0"/>
            </w:pPr>
            <w:r/>
            <w:r>
              <w:rPr>
                <w:b w:val="0"/>
                <w:i w:val="0"/>
                <w:color w:val="1A1A1A"/>
                <w:sz w:val="17"/>
              </w:rPr>
              <w:t>keine gesetzliche Vorgabe</w:t>
            </w:r>
          </w:p>
        </w:tc>
      </w:tr>
      <w:tr>
        <w:trPr>
          <w:cantSplit w:val="true"/>
        </w:trPr>
        <w:tc>
          <w:tcPr>
            <w:tcW w:type="dxa" w:w="1474"/>
            <w:shd w:val="clear" w:color="auto" w:fill="F3EFE6"/>
          </w:tcPr>
          <w:p>
            <w:pPr>
              <w:spacing w:after="0" w:before="0"/>
            </w:pPr>
            <w:r/>
            <w:r>
              <w:rPr>
                <w:b w:val="0"/>
                <w:i w:val="0"/>
                <w:color w:val="1A1A1A"/>
                <w:sz w:val="17"/>
              </w:rPr>
              <w:t>Einweisung überlassener Kräfte</w:t>
            </w:r>
          </w:p>
        </w:tc>
        <w:tc>
          <w:tcPr>
            <w:tcW w:type="dxa" w:w="2721"/>
            <w:shd w:val="clear" w:color="auto" w:fill="F3EFE6"/>
          </w:tcPr>
          <w:p>
            <w:pPr>
              <w:spacing w:after="0" w:before="0"/>
            </w:pPr>
            <w:r/>
            <w:r>
              <w:rPr>
                <w:b w:val="0"/>
                <w:i w:val="0"/>
                <w:color w:val="1A1A1A"/>
                <w:sz w:val="17"/>
              </w:rPr>
              <w:t>Unterweisung durch den Entleiher (§ 12 ArbSchG)</w:t>
            </w:r>
          </w:p>
        </w:tc>
        <w:tc>
          <w:tcPr>
            <w:tcW w:type="dxa" w:w="2721"/>
            <w:shd w:val="clear" w:color="auto" w:fill="F3EFE6"/>
          </w:tcPr>
          <w:p>
            <w:pPr>
              <w:spacing w:after="0" w:before="0"/>
            </w:pPr>
            <w:r/>
            <w:r>
              <w:rPr>
                <w:b w:val="0"/>
                <w:i w:val="0"/>
                <w:color w:val="1A1A1A"/>
                <w:sz w:val="17"/>
              </w:rPr>
              <w:t>Unterweisung vor Aufnahme der Tätigkeit, nachweislich, verständlich (§ 14 ASchG)</w:t>
            </w:r>
          </w:p>
        </w:tc>
        <w:tc>
          <w:tcPr>
            <w:tcW w:type="dxa" w:w="2721"/>
            <w:shd w:val="clear" w:color="auto" w:fill="F3EFE6"/>
          </w:tcPr>
          <w:p>
            <w:pPr>
              <w:spacing w:after="0" w:before="0"/>
            </w:pPr>
            <w:r/>
            <w:r>
              <w:rPr>
                <w:b w:val="0"/>
                <w:i w:val="0"/>
                <w:color w:val="1A1A1A"/>
                <w:sz w:val="17"/>
              </w:rPr>
              <w:t>Information und Anleitung auch für Arbeitnehmer anderer Betriebe (Art. 6 Abs. 1 VUV)</w:t>
            </w:r>
          </w:p>
        </w:tc>
      </w:tr>
      <w:tr>
        <w:trPr>
          <w:cantSplit w:val="true"/>
        </w:trPr>
        <w:tc>
          <w:tcPr>
            <w:tcW w:type="dxa" w:w="1474"/>
          </w:tcPr>
          <w:p>
            <w:pPr>
              <w:spacing w:after="0" w:before="0"/>
            </w:pPr>
            <w:r/>
            <w:r>
              <w:rPr>
                <w:b w:val="0"/>
                <w:i w:val="0"/>
                <w:color w:val="1A1A1A"/>
                <w:sz w:val="17"/>
              </w:rPr>
              <w:t>Getrennte Sammlung</w:t>
            </w:r>
          </w:p>
        </w:tc>
        <w:tc>
          <w:tcPr>
            <w:tcW w:type="dxa" w:w="2721"/>
          </w:tcPr>
          <w:p>
            <w:pPr>
              <w:spacing w:after="0" w:before="0"/>
            </w:pPr>
            <w:r/>
            <w:r>
              <w:rPr>
                <w:b w:val="0"/>
                <w:i w:val="0"/>
                <w:color w:val="1A1A1A"/>
                <w:sz w:val="17"/>
              </w:rPr>
              <w:t>Bioabfälle getrennt, mit Dokumentation (§ 3 GewAbfV)</w:t>
            </w:r>
          </w:p>
        </w:tc>
        <w:tc>
          <w:tcPr>
            <w:tcW w:type="dxa" w:w="2721"/>
          </w:tcPr>
          <w:p>
            <w:pPr>
              <w:spacing w:after="0" w:before="0"/>
            </w:pPr>
            <w:r/>
            <w:r>
              <w:rPr>
                <w:b w:val="0"/>
                <w:i w:val="0"/>
                <w:color w:val="1A1A1A"/>
                <w:sz w:val="17"/>
              </w:rPr>
              <w:t>Landesrecht und Abfuhrordnung der Gemeinde</w:t>
            </w:r>
          </w:p>
        </w:tc>
        <w:tc>
          <w:tcPr>
            <w:tcW w:type="dxa" w:w="2721"/>
          </w:tcPr>
          <w:p>
            <w:pPr>
              <w:spacing w:after="0" w:before="0"/>
            </w:pPr>
            <w:r/>
            <w:r>
              <w:rPr>
                <w:b w:val="0"/>
                <w:i w:val="0"/>
                <w:color w:val="1A1A1A"/>
                <w:sz w:val="17"/>
              </w:rPr>
              <w:t>Reglemente von Kanton und Gemeinde</w:t>
            </w:r>
          </w:p>
        </w:tc>
      </w:tr>
      <w:tr>
        <w:trPr>
          <w:cantSplit w:val="true"/>
        </w:trPr>
        <w:tc>
          <w:tcPr>
            <w:tcW w:type="dxa" w:w="1474"/>
            <w:shd w:val="clear" w:color="auto" w:fill="F3EFE6"/>
          </w:tcPr>
          <w:p>
            <w:pPr>
              <w:spacing w:after="0" w:before="0"/>
            </w:pPr>
            <w:r/>
            <w:r>
              <w:rPr>
                <w:b w:val="0"/>
                <w:i w:val="0"/>
                <w:color w:val="1A1A1A"/>
                <w:sz w:val="17"/>
              </w:rPr>
              <w:t>Einwegbecher</w:t>
            </w:r>
          </w:p>
        </w:tc>
        <w:tc>
          <w:tcPr>
            <w:tcW w:type="dxa" w:w="2721"/>
            <w:shd w:val="clear" w:color="auto" w:fill="F3EFE6"/>
          </w:tcPr>
          <w:p>
            <w:pPr>
              <w:spacing w:after="0" w:before="0"/>
            </w:pPr>
            <w:r/>
            <w:r>
              <w:rPr>
                <w:b w:val="0"/>
                <w:i w:val="0"/>
                <w:color w:val="1A1A1A"/>
                <w:sz w:val="17"/>
              </w:rPr>
              <w:t>verboten nur aus expandiertem Polystyrol (§ 3 EWKVerbotsV)</w:t>
            </w:r>
          </w:p>
        </w:tc>
        <w:tc>
          <w:tcPr>
            <w:tcW w:type="dxa" w:w="2721"/>
            <w:shd w:val="clear" w:color="auto" w:fill="F3EFE6"/>
          </w:tcPr>
          <w:p>
            <w:pPr>
              <w:spacing w:after="0" w:before="0"/>
            </w:pPr>
            <w:r/>
            <w:r>
              <w:rPr>
                <w:b w:val="0"/>
                <w:i w:val="0"/>
                <w:color w:val="1A1A1A"/>
                <w:sz w:val="17"/>
              </w:rPr>
              <w:t>Verbote nach § 13n AWG 2002, seit Dezember 2021</w:t>
            </w:r>
          </w:p>
        </w:tc>
        <w:tc>
          <w:tcPr>
            <w:tcW w:type="dxa" w:w="2721"/>
            <w:shd w:val="clear" w:color="auto" w:fill="F3EFE6"/>
          </w:tcPr>
          <w:p>
            <w:pPr>
              <w:spacing w:after="0" w:before="0"/>
            </w:pPr>
            <w:r/>
            <w:r>
              <w:rPr>
                <w:b w:val="0"/>
                <w:i w:val="0"/>
                <w:color w:val="1A1A1A"/>
                <w:sz w:val="17"/>
              </w:rPr>
              <w:t>kein Verbot des Bundes (Band 8a, 1.13)</w:t>
            </w:r>
          </w:p>
        </w:tc>
      </w:tr>
      <w:tr>
        <w:trPr>
          <w:cantSplit w:val="true"/>
        </w:trPr>
        <w:tc>
          <w:tcPr>
            <w:tcW w:type="dxa" w:w="1474"/>
          </w:tcPr>
          <w:p>
            <w:pPr>
              <w:spacing w:after="0" w:before="0"/>
            </w:pPr>
            <w:r/>
            <w:r>
              <w:rPr>
                <w:b w:val="0"/>
                <w:i w:val="0"/>
                <w:color w:val="1A1A1A"/>
                <w:sz w:val="17"/>
              </w:rPr>
              <w:t>Gespräche und Gästedaten</w:t>
            </w:r>
          </w:p>
        </w:tc>
        <w:tc>
          <w:tcPr>
            <w:tcW w:type="dxa" w:w="2721"/>
          </w:tcPr>
          <w:p>
            <w:pPr>
              <w:spacing w:after="0" w:before="0"/>
            </w:pPr>
            <w:r/>
            <w:r>
              <w:rPr>
                <w:b w:val="0"/>
                <w:i w:val="0"/>
                <w:color w:val="1A1A1A"/>
                <w:sz w:val="17"/>
              </w:rPr>
              <w:t>Betriebsverfassungsgesetz, wo ein Betriebsrat besteht; DSGVO</w:t>
            </w:r>
          </w:p>
        </w:tc>
        <w:tc>
          <w:tcPr>
            <w:tcW w:type="dxa" w:w="2721"/>
          </w:tcPr>
          <w:p>
            <w:pPr>
              <w:spacing w:after="0" w:before="0"/>
            </w:pPr>
            <w:r/>
            <w:r>
              <w:rPr>
                <w:b w:val="0"/>
                <w:i w:val="0"/>
                <w:color w:val="1A1A1A"/>
                <w:sz w:val="17"/>
              </w:rPr>
              <w:t>Arbeitsverfassungsgesetz; DSGVO</w:t>
            </w:r>
          </w:p>
        </w:tc>
        <w:tc>
          <w:tcPr>
            <w:tcW w:type="dxa" w:w="2721"/>
          </w:tcPr>
          <w:p>
            <w:pPr>
              <w:spacing w:after="0" w:before="0"/>
            </w:pPr>
            <w:r/>
            <w:r>
              <w:rPr>
                <w:b w:val="0"/>
                <w:i w:val="0"/>
                <w:color w:val="1A1A1A"/>
                <w:sz w:val="17"/>
              </w:rPr>
              <w:t>Mitwirkungsgesetz; Datenschutzgesetz</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3.2.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3.2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3.2 — Die Kompetenz interner Auditoren festlegen und belegen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