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3.4</w:t>
      </w:r>
    </w:p>
    <w:p>
      <w:pPr>
        <w:pStyle w:val="Heading1"/>
      </w:pPr>
      <w:r>
        <w:t>Auditmethoden wählen und verbinden</w:t>
      </w:r>
    </w:p>
    <w:p>
      <w:pPr>
        <w:spacing w:after="0"/>
      </w:pPr>
      <w:r>
        <w:rPr>
          <w:b w:val="0"/>
          <w:i/>
          <w:color w:val="5A5A5A"/>
        </w:rPr>
        <w:t>Abschnitt 3.4 · Auditmethoden: Gespräch, Beobachtung, Dokument und Stichprobe</w:t>
      </w:r>
    </w:p>
    <w:p>
      <w:pPr>
        <w:spacing w:after="160"/>
      </w:pPr>
      <w:r>
        <w:rPr>
          <w:b w:val="0"/>
          <w:i w:val="0"/>
          <w:color w:val="5A5A5A"/>
          <w:sz w:val="18"/>
        </w:rPr>
        <w:t>Modellfall im Buch: Rostock-Warnemünde</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interner Auditor schreibt, eine Regel Ihres Hauses werde eingehalten: Aus wie vielen Quellen weiß er das, und hätte ihm eine davon widersprechen können? Und wer hat entschieden, welche Bankettformulare er zu sehen bekam?</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Vier Arten des Vorgehens, am Fall in Warnemünde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Art des Vorgehens</w:t>
            </w:r>
          </w:p>
        </w:tc>
        <w:tc>
          <w:tcPr>
            <w:tcW w:type="dxa" w:w="3213"/>
            <w:shd w:val="clear" w:color="auto" w:fill="8C5A2B"/>
          </w:tcPr>
          <w:p>
            <w:pPr>
              <w:spacing w:after="0" w:before="0"/>
            </w:pPr>
            <w:r/>
            <w:r>
              <w:rPr>
                <w:b/>
                <w:i w:val="0"/>
                <w:color w:val="FFFFFF"/>
                <w:sz w:val="18"/>
              </w:rPr>
              <w:t>Am Fall</w:t>
            </w:r>
          </w:p>
        </w:tc>
        <w:tc>
          <w:tcPr>
            <w:tcW w:type="dxa" w:w="3213"/>
            <w:shd w:val="clear" w:color="auto" w:fill="8C5A2B"/>
          </w:tcPr>
          <w:p>
            <w:pPr>
              <w:spacing w:after="0" w:before="0"/>
            </w:pPr>
            <w:r/>
            <w:r>
              <w:rPr>
                <w:b/>
                <w:i w:val="0"/>
                <w:color w:val="FFFFFF"/>
                <w:sz w:val="18"/>
              </w:rPr>
              <w:t>Was sie trägt, was nicht</w:t>
            </w:r>
          </w:p>
        </w:tc>
      </w:tr>
      <w:tr>
        <w:trPr>
          <w:cantSplit w:val="true"/>
        </w:trPr>
        <w:tc>
          <w:tcPr>
            <w:tcW w:type="dxa" w:w="3213"/>
          </w:tcPr>
          <w:p>
            <w:pPr>
              <w:spacing w:after="0" w:before="0"/>
            </w:pPr>
            <w:r/>
            <w:r>
              <w:rPr>
                <w:b w:val="0"/>
                <w:i w:val="0"/>
                <w:color w:val="1A1A1A"/>
                <w:sz w:val="18"/>
              </w:rPr>
              <w:t>vor Ort, im Gespräch</w:t>
            </w:r>
          </w:p>
        </w:tc>
        <w:tc>
          <w:tcPr>
            <w:tcW w:type="dxa" w:w="3213"/>
          </w:tcPr>
          <w:p>
            <w:pPr>
              <w:spacing w:after="0" w:before="0"/>
            </w:pPr>
            <w:r/>
            <w:r>
              <w:rPr>
                <w:b w:val="0"/>
                <w:i w:val="0"/>
                <w:color w:val="1A1A1A"/>
                <w:sz w:val="18"/>
              </w:rPr>
              <w:t>drei Aushilfen an der Spülküche, je fünf Minuten</w:t>
            </w:r>
          </w:p>
        </w:tc>
        <w:tc>
          <w:tcPr>
            <w:tcW w:type="dxa" w:w="3213"/>
          </w:tcPr>
          <w:p>
            <w:pPr>
              <w:spacing w:after="0" w:before="0"/>
            </w:pPr>
            <w:r/>
            <w:r>
              <w:rPr>
                <w:b w:val="0"/>
                <w:i w:val="0"/>
                <w:color w:val="1A1A1A"/>
                <w:sz w:val="18"/>
              </w:rPr>
              <w:t>das Wissen der Ausführenden; nicht, was am Samstag geschah</w:t>
            </w:r>
          </w:p>
        </w:tc>
      </w:tr>
      <w:tr>
        <w:trPr>
          <w:cantSplit w:val="true"/>
        </w:trPr>
        <w:tc>
          <w:tcPr>
            <w:tcW w:type="dxa" w:w="3213"/>
            <w:shd w:val="clear" w:color="auto" w:fill="F3EFE6"/>
          </w:tcPr>
          <w:p>
            <w:pPr>
              <w:spacing w:after="0" w:before="0"/>
            </w:pPr>
            <w:r/>
            <w:r>
              <w:rPr>
                <w:b w:val="0"/>
                <w:i w:val="0"/>
                <w:color w:val="1A1A1A"/>
                <w:sz w:val="18"/>
              </w:rPr>
              <w:t>vor Ort, beobachtend</w:t>
            </w:r>
          </w:p>
        </w:tc>
        <w:tc>
          <w:tcPr>
            <w:tcW w:type="dxa" w:w="3213"/>
            <w:shd w:val="clear" w:color="auto" w:fill="F3EFE6"/>
          </w:tcPr>
          <w:p>
            <w:pPr>
              <w:spacing w:after="0" w:before="0"/>
            </w:pPr>
            <w:r/>
            <w:r>
              <w:rPr>
                <w:b w:val="0"/>
                <w:i w:val="0"/>
                <w:color w:val="1A1A1A"/>
                <w:sz w:val="18"/>
              </w:rPr>
              <w:t>Aufbau am Freitag; Hof am Montag um 6.10 Uhr</w:t>
            </w:r>
          </w:p>
        </w:tc>
        <w:tc>
          <w:tcPr>
            <w:tcW w:type="dxa" w:w="3213"/>
            <w:shd w:val="clear" w:color="auto" w:fill="F3EFE6"/>
          </w:tcPr>
          <w:p>
            <w:pPr>
              <w:spacing w:after="0" w:before="0"/>
            </w:pPr>
            <w:r/>
            <w:r>
              <w:rPr>
                <w:b w:val="0"/>
                <w:i w:val="0"/>
                <w:color w:val="1A1A1A"/>
                <w:sz w:val="18"/>
              </w:rPr>
              <w:t>was zu dieser Stunde geschieht; nur diesen Tag</w:t>
            </w:r>
          </w:p>
        </w:tc>
      </w:tr>
      <w:tr>
        <w:trPr>
          <w:cantSplit w:val="true"/>
        </w:trPr>
        <w:tc>
          <w:tcPr>
            <w:tcW w:type="dxa" w:w="3213"/>
          </w:tcPr>
          <w:p>
            <w:pPr>
              <w:spacing w:after="0" w:before="0"/>
            </w:pPr>
            <w:r/>
            <w:r>
              <w:rPr>
                <w:b w:val="0"/>
                <w:i w:val="0"/>
                <w:color w:val="1A1A1A"/>
                <w:sz w:val="18"/>
              </w:rPr>
              <w:t>fern, im Gespräch</w:t>
            </w:r>
          </w:p>
        </w:tc>
        <w:tc>
          <w:tcPr>
            <w:tcW w:type="dxa" w:w="3213"/>
          </w:tcPr>
          <w:p>
            <w:pPr>
              <w:spacing w:after="0" w:before="0"/>
            </w:pPr>
            <w:r/>
            <w:r>
              <w:rPr>
                <w:b w:val="0"/>
                <w:i w:val="0"/>
                <w:color w:val="1A1A1A"/>
                <w:sz w:val="18"/>
              </w:rPr>
              <w:t>Videotelefonat mit der Disposition des Entsorgers</w:t>
            </w:r>
          </w:p>
        </w:tc>
        <w:tc>
          <w:tcPr>
            <w:tcW w:type="dxa" w:w="3213"/>
          </w:tcPr>
          <w:p>
            <w:pPr>
              <w:spacing w:after="0" w:before="0"/>
            </w:pPr>
            <w:r/>
            <w:r>
              <w:rPr>
                <w:b w:val="0"/>
                <w:i w:val="0"/>
                <w:color w:val="1A1A1A"/>
                <w:sz w:val="18"/>
              </w:rPr>
              <w:t>Abholdaten und Wiegescheine; keinen Zustand im Haus</w:t>
            </w:r>
          </w:p>
        </w:tc>
      </w:tr>
      <w:tr>
        <w:trPr>
          <w:cantSplit w:val="true"/>
        </w:trPr>
        <w:tc>
          <w:tcPr>
            <w:tcW w:type="dxa" w:w="3213"/>
            <w:shd w:val="clear" w:color="auto" w:fill="F3EFE6"/>
          </w:tcPr>
          <w:p>
            <w:pPr>
              <w:spacing w:after="0" w:before="0"/>
            </w:pPr>
            <w:r/>
            <w:r>
              <w:rPr>
                <w:b w:val="0"/>
                <w:i w:val="0"/>
                <w:color w:val="1A1A1A"/>
                <w:sz w:val="18"/>
              </w:rPr>
              <w:t>fern, ohne Gespräch</w:t>
            </w:r>
          </w:p>
        </w:tc>
        <w:tc>
          <w:tcPr>
            <w:tcW w:type="dxa" w:w="3213"/>
            <w:shd w:val="clear" w:color="auto" w:fill="F3EFE6"/>
          </w:tcPr>
          <w:p>
            <w:pPr>
              <w:spacing w:after="0" w:before="0"/>
            </w:pPr>
            <w:r/>
            <w:r>
              <w:rPr>
                <w:b w:val="0"/>
                <w:i w:val="0"/>
                <w:color w:val="1A1A1A"/>
                <w:sz w:val="18"/>
              </w:rPr>
              <w:t>zwölf Bankettformulare in der Software; Wiegeliste als Scan</w:t>
            </w:r>
          </w:p>
        </w:tc>
        <w:tc>
          <w:tcPr>
            <w:tcW w:type="dxa" w:w="3213"/>
            <w:shd w:val="clear" w:color="auto" w:fill="F3EFE6"/>
          </w:tcPr>
          <w:p>
            <w:pPr>
              <w:spacing w:after="0" w:before="0"/>
            </w:pPr>
            <w:r/>
            <w:r>
              <w:rPr>
                <w:b w:val="0"/>
                <w:i w:val="0"/>
                <w:color w:val="1A1A1A"/>
                <w:sz w:val="18"/>
              </w:rPr>
              <w:t>Aufzeichnungen; nicht, ob sie stimmen</w:t>
            </w:r>
          </w:p>
        </w:tc>
      </w:tr>
    </w:tbl>
    <w:p>
      <w:pPr>
        <w:spacing w:after="40"/>
      </w:pPr>
    </w:p>
    <w:p>
      <w:pPr>
        <w:pStyle w:val="Heading2"/>
      </w:pPr>
      <w:r>
        <w:t>Praktische Anwendung: Auditmethoden in sieben Schritten wählen und verbinden</w:t>
      </w:r>
    </w:p>
    <w:p>
      <w:pPr>
        <w:tabs>
          <w:tab w:pos="340" w:val="left"/>
        </w:tabs>
        <w:ind w:left="340" w:hanging="340"/>
      </w:pPr>
      <w:r>
        <w:rPr>
          <w:b/>
          <w:color w:val="8C5A2B"/>
        </w:rPr>
        <w:t>1.</w:t>
        <w:tab/>
      </w:r>
      <w:r>
        <w:rPr>
          <w:b/>
        </w:rPr>
        <w:t>Je Festlegung die Quellen planen.</w:t>
      </w:r>
      <w:r>
        <w:t xml:space="preserve"> Schreiben Sie zu jeder Festlegung, die Sie prüfen, welches Dokument, welches Gespräch und welche Beobachtung dazu gehören. Wo eine Quelle fehlt, notieren Sie, warum.</w:t>
      </w:r>
    </w:p>
    <w:p>
      <w:pPr>
        <w:tabs>
          <w:tab w:pos="340" w:val="left"/>
        </w:tabs>
        <w:ind w:left="340" w:hanging="340"/>
      </w:pPr>
      <w:r>
        <w:rPr>
          <w:b/>
          <w:color w:val="8C5A2B"/>
        </w:rPr>
        <w:t>2.</w:t>
        <w:tab/>
      </w:r>
      <w:r>
        <w:rPr>
          <w:b/>
        </w:rPr>
        <w:t>Die Stichprobe selbst ziehen.</w:t>
      </w:r>
      <w:r>
        <w:t xml:space="preserve"> Legen Sie den Auswahlplan fest, bevor Sie die erste Unterlage sehen. Ein Teil wird gleichmäßig gezogen, ein Teil nach dem Risiko: die größten Feste, die Samstage, die Einsätze mit Agenturkräften.</w:t>
      </w:r>
    </w:p>
    <w:p>
      <w:pPr>
        <w:tabs>
          <w:tab w:pos="340" w:val="left"/>
        </w:tabs>
        <w:ind w:left="340" w:hanging="340"/>
      </w:pPr>
      <w:r>
        <w:rPr>
          <w:b/>
          <w:color w:val="8C5A2B"/>
        </w:rPr>
        <w:t>3.</w:t>
        <w:tab/>
      </w:r>
      <w:r>
        <w:rPr>
          <w:b/>
        </w:rPr>
        <w:t>Offen fragen, nach dem letzten Mal.</w:t>
      </w:r>
      <w:r>
        <w:t xml:space="preserve"> Fragen Sie, was jemand beim letzten Fest getan hat, nicht, ob er die Regel kennt. Sprechen Sie mit denen, die die Arbeit tun, am Arbeitsplatz und kurz.</w:t>
      </w:r>
    </w:p>
    <w:p>
      <w:pPr>
        <w:tabs>
          <w:tab w:pos="340" w:val="left"/>
        </w:tabs>
        <w:ind w:left="340" w:hanging="340"/>
      </w:pPr>
      <w:r>
        <w:rPr>
          <w:b/>
          <w:color w:val="8C5A2B"/>
        </w:rPr>
        <w:t>4.</w:t>
        <w:tab/>
      </w:r>
      <w:r>
        <w:rPr>
          <w:b/>
        </w:rPr>
        <w:t>Zur Stunde der Regel beobachten.</w:t>
      </w:r>
      <w:r>
        <w:t xml:space="preserve"> Gehen Sie dorthin, wo die Festlegung gilt, zu der Zeit, in der sie gilt. Schreiben Sie Uhrzeit, Ort und Zahl auf.</w:t>
      </w:r>
    </w:p>
    <w:p>
      <w:pPr>
        <w:tabs>
          <w:tab w:pos="340" w:val="left"/>
        </w:tabs>
        <w:ind w:left="340" w:hanging="340"/>
      </w:pPr>
      <w:r>
        <w:rPr>
          <w:b/>
          <w:color w:val="8C5A2B"/>
        </w:rPr>
        <w:t>5.</w:t>
        <w:tab/>
      </w:r>
      <w:r>
        <w:rPr>
          <w:b/>
        </w:rPr>
        <w:t>Zwei unabhängige Aufzeichnungen nebeneinanderlegen.</w:t>
      </w:r>
      <w:r>
        <w:t xml:space="preserve"> Suchen Sie zu jeder Aufzeichnung des Hauses eine, die ein anderer führt: Entsorger, Lieferant, Agentur. Rechnen Sie nach.</w:t>
      </w:r>
    </w:p>
    <w:p>
      <w:pPr>
        <w:tabs>
          <w:tab w:pos="340" w:val="left"/>
        </w:tabs>
        <w:ind w:left="340" w:hanging="340"/>
      </w:pPr>
      <w:r>
        <w:rPr>
          <w:b/>
          <w:color w:val="8C5A2B"/>
        </w:rPr>
        <w:t>6.</w:t>
        <w:tab/>
      </w:r>
      <w:r>
        <w:rPr>
          <w:b/>
        </w:rPr>
        <w:t>Fern prüfen, was als Aufzeichnung vorliegt.</w:t>
      </w:r>
      <w:r>
        <w:t xml:space="preserve"> Formulare, Listen und Rechnungen lassen sich am Bildschirm lesen. Abläufe, Zustände und Gespräche mit Ausführenden gehören vor Ort.</w:t>
      </w:r>
    </w:p>
    <w:p>
      <w:pPr>
        <w:tabs>
          <w:tab w:pos="340" w:val="left"/>
        </w:tabs>
        <w:ind w:left="340" w:hanging="340"/>
      </w:pPr>
      <w:r>
        <w:rPr>
          <w:b/>
          <w:color w:val="8C5A2B"/>
        </w:rPr>
        <w:t>7.</w:t>
        <w:tab/>
      </w:r>
      <w:r>
        <w:rPr>
          <w:b/>
        </w:rPr>
        <w:t>Widersprüche als Befund festhalten.</w:t>
      </w:r>
      <w:r>
        <w:t xml:space="preserve"> Widersprechen sich zwei Quellen, schreiben Sie beide mit Ort und Datum auf. Welche stimmt, klärt das Haus, und warum es zum Widerspruch kam, klärt die Ursachenanalyse (3.11).</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Je Festlegung die Quellen planen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Stichprobe selbst ziehen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Offen fragen, nach dem letzten Mal</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Zur Stunde der Regel beobachten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Zwei unabhängige Aufzeichnungen nebeneinanderlegen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Fern prüfen, was als Aufzeichnung vorliegt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Widersprüche als Befund festhalten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Nennt unser Auditprogramm die Methoden, mit denen geprüft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Stützt sich jede Feststellung auf mindestens zwei Arten von Quellen?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Zieht der Auditor die Stichprobe selbst, nach einem vorher festgelegten Plan?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Enthält die Stichprobe die größten Feste und die Samstage?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Spricht der Auditor auch mit Aushilfen, Spülern und der Spätschicht?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Beobachtet er zu den Stunden, in denen unsere Festlegungen gelten?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Gleichen wir eigene Aufzeichnungen mit denen eines Dritten ab?</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Tragen Gesprächsnotizen und Fotos keine Namen und keine Gesichter?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Nur Ordner lesen.</w:t>
      </w:r>
      <w:r>
        <w:t xml:space="preserve"> Sie zeigen, was beschlossen ist, und nicht, was am Samstag geschieht.</w:t>
      </w:r>
    </w:p>
    <w:p>
      <w:pPr>
        <w:tabs>
          <w:tab w:pos="340" w:val="left"/>
        </w:tabs>
        <w:ind w:left="340" w:hanging="340"/>
      </w:pPr>
      <w:r>
        <w:rPr>
          <w:color w:val="8C5A2B"/>
        </w:rPr>
        <w:t>–</w:t>
        <w:tab/>
      </w:r>
      <w:r>
        <w:rPr>
          <w:b/>
        </w:rPr>
        <w:t>Nur Leitende befragen.</w:t>
      </w:r>
      <w:r>
        <w:t xml:space="preserve"> Sie kennen die Regel, die Ausführenden kennen den Ablauf.</w:t>
      </w:r>
    </w:p>
    <w:p>
      <w:pPr>
        <w:tabs>
          <w:tab w:pos="340" w:val="left"/>
        </w:tabs>
        <w:ind w:left="340" w:hanging="340"/>
      </w:pPr>
      <w:r>
        <w:rPr>
          <w:color w:val="8C5A2B"/>
        </w:rPr>
        <w:t>–</w:t>
        <w:tab/>
      </w:r>
      <w:r>
        <w:rPr>
          <w:b/>
        </w:rPr>
        <w:t>Die Antwort in die Frage legen.</w:t>
      </w:r>
      <w:r>
        <w:t xml:space="preserve"> Auf «Das läuft doch, oder?» antwortet jeder mit Ja.</w:t>
      </w:r>
    </w:p>
    <w:p>
      <w:pPr>
        <w:tabs>
          <w:tab w:pos="340" w:val="left"/>
        </w:tabs>
        <w:ind w:left="340" w:hanging="340"/>
      </w:pPr>
      <w:r>
        <w:rPr>
          <w:color w:val="8C5A2B"/>
        </w:rPr>
        <w:t>–</w:t>
        <w:tab/>
      </w:r>
      <w:r>
        <w:rPr>
          <w:b/>
        </w:rPr>
        <w:t>Die Auswahl der Geprüften überlassen.</w:t>
      </w:r>
      <w:r>
        <w:t xml:space="preserve"> Ausgewählt werden dann die Feste, die gut gelaufen sind.</w:t>
      </w:r>
    </w:p>
    <w:p>
      <w:pPr>
        <w:tabs>
          <w:tab w:pos="340" w:val="left"/>
        </w:tabs>
        <w:ind w:left="340" w:hanging="340"/>
      </w:pPr>
      <w:r>
        <w:rPr>
          <w:color w:val="8C5A2B"/>
        </w:rPr>
        <w:t>–</w:t>
        <w:tab/>
      </w:r>
      <w:r>
        <w:rPr>
          <w:b/>
        </w:rPr>
        <w:t>Einem Kreuz trauen, das zwei Schichten zusammenfasst.</w:t>
      </w:r>
      <w:r>
        <w:t xml:space="preserve"> Es stimmt für die eine und sagt nichts über die andere.</w:t>
      </w:r>
    </w:p>
    <w:p>
      <w:pPr>
        <w:tabs>
          <w:tab w:pos="340" w:val="left"/>
        </w:tabs>
        <w:ind w:left="340" w:hanging="340"/>
      </w:pPr>
      <w:r>
        <w:rPr>
          <w:color w:val="8C5A2B"/>
        </w:rPr>
        <w:t>–</w:t>
        <w:tab/>
      </w:r>
      <w:r>
        <w:rPr>
          <w:b/>
        </w:rPr>
        <w:t>Fern prüfen, was nur vor Ort zu sehen ist.</w:t>
      </w:r>
      <w:r>
        <w:t xml:space="preserve"> Eine Tonne an der Hintertür erscheint in keiner Software.</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Zwölf Bankettformulare zu 15 Minuten, am Bildschirm</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Beobachtung Aufbau, Gespräche, Hof am Montag</w:t>
            </w:r>
          </w:p>
        </w:tc>
        <w:tc>
          <w:tcPr>
            <w:tcW w:type="dxa" w:w="1474"/>
            <w:shd w:val="clear" w:color="auto" w:fill="F3EFE6"/>
          </w:tcPr>
          <w:p>
            <w:pPr>
              <w:spacing w:after="0" w:before="0"/>
            </w:pPr>
            <w:r/>
            <w:r>
              <w:rPr>
                <w:b w:val="0"/>
                <w:i w:val="0"/>
                <w:color w:val="1A1A1A"/>
                <w:sz w:val="18"/>
              </w:rPr>
              <w:t>4 Stunden</w:t>
            </w:r>
          </w:p>
        </w:tc>
        <w:tc>
          <w:tcPr>
            <w:tcW w:type="dxa" w:w="3175"/>
            <w:shd w:val="clear" w:color="auto" w:fill="F3EFE6"/>
          </w:tcPr>
          <w:p>
            <w:pPr>
              <w:spacing w:after="0" w:before="0"/>
            </w:pPr>
            <w:r/>
            <w:r>
              <w:rPr>
                <w:b w:val="0"/>
                <w:i w:val="0"/>
                <w:color w:val="1A1A1A"/>
                <w:sz w:val="18"/>
              </w:rPr>
              <w:t>Auditor; davon 1 Stunde vor 7 Uhr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Abgleich Wiegeliste und Rechnung, Telefonat mit dem Entsorger</w:t>
            </w:r>
          </w:p>
        </w:tc>
        <w:tc>
          <w:tcPr>
            <w:tcW w:type="dxa" w:w="1474"/>
          </w:tcPr>
          <w:p>
            <w:pPr>
              <w:spacing w:after="0" w:before="0"/>
            </w:pPr>
            <w:r/>
            <w:r>
              <w:rPr>
                <w:b w:val="0"/>
                <w:i w:val="0"/>
                <w:color w:val="1A1A1A"/>
                <w:sz w:val="18"/>
              </w:rPr>
              <w:t>2 Stunden</w:t>
            </w:r>
          </w:p>
        </w:tc>
        <w:tc>
          <w:tcPr>
            <w:tcW w:type="dxa" w:w="3175"/>
          </w:tcPr>
          <w:p>
            <w:pPr>
              <w:spacing w:after="0" w:before="0"/>
            </w:pPr>
            <w:r/>
            <w:r>
              <w:rPr>
                <w:b w:val="0"/>
                <w:i w:val="0"/>
                <w:color w:val="1A1A1A"/>
                <w:sz w:val="18"/>
              </w:rPr>
              <w:t>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Bericht und Schlussgespräch</w:t>
            </w:r>
          </w:p>
        </w:tc>
        <w:tc>
          <w:tcPr>
            <w:tcW w:type="dxa" w:w="1474"/>
            <w:shd w:val="clear" w:color="auto" w:fill="F3EFE6"/>
          </w:tcPr>
          <w:p>
            <w:pPr>
              <w:spacing w:after="0" w:before="0"/>
            </w:pPr>
            <w:r/>
            <w:r>
              <w:rPr>
                <w:b w:val="0"/>
                <w:i w:val="0"/>
                <w:color w:val="1A1A1A"/>
                <w:sz w:val="18"/>
              </w:rPr>
              <w:t>3 Stunden</w:t>
            </w:r>
          </w:p>
        </w:tc>
        <w:tc>
          <w:tcPr>
            <w:tcW w:type="dxa" w:w="3175"/>
            <w:shd w:val="clear" w:color="auto" w:fill="F3EFE6"/>
          </w:tcPr>
          <w:p>
            <w:pPr>
              <w:spacing w:after="0" w:before="0"/>
            </w:pPr>
            <w:r/>
            <w:r>
              <w:rPr>
                <w:b w:val="0"/>
                <w:i w:val="0"/>
                <w:color w:val="1A1A1A"/>
                <w:sz w:val="18"/>
              </w:rPr>
              <w:t>Auditor und Direktorin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Summe: 12 Stunden zu € 38</w:t>
            </w:r>
          </w:p>
        </w:tc>
        <w:tc>
          <w:tcPr>
            <w:tcW w:type="dxa" w:w="1474"/>
          </w:tcPr>
          <w:p>
            <w:pPr>
              <w:spacing w:after="0" w:before="0"/>
            </w:pPr>
            <w:r/>
            <w:r>
              <w:rPr>
                <w:b w:val="0"/>
                <w:i w:val="0"/>
                <w:color w:val="1A1A1A"/>
                <w:sz w:val="18"/>
              </w:rPr>
              <w:t>€ 456</w:t>
            </w:r>
          </w:p>
        </w:tc>
        <w:tc>
          <w:tcPr>
            <w:tcW w:type="dxa" w:w="3175"/>
          </w:tcPr>
          <w:p>
            <w:pPr>
              <w:spacing w:after="0" w:before="0"/>
            </w:pPr>
            <w:r/>
            <w:r>
              <w:rPr>
                <w:b w:val="0"/>
                <w:i w:val="0"/>
                <w:color w:val="1A1A1A"/>
                <w:sz w:val="18"/>
              </w:rPr>
              <w:t>interne Kosten des Kreuzaudits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Frühschicht montags 30 Minuten früher: 50 × 0,5 Stunden × € 24</w:t>
            </w:r>
          </w:p>
        </w:tc>
        <w:tc>
          <w:tcPr>
            <w:tcW w:type="dxa" w:w="1474"/>
            <w:shd w:val="clear" w:color="auto" w:fill="F3EFE6"/>
          </w:tcPr>
          <w:p>
            <w:pPr>
              <w:spacing w:after="0" w:before="0"/>
            </w:pPr>
            <w:r/>
            <w:r>
              <w:rPr>
                <w:b w:val="0"/>
                <w:i w:val="0"/>
                <w:color w:val="1A1A1A"/>
                <w:sz w:val="18"/>
              </w:rPr>
              <w:t>€ 600</w:t>
            </w:r>
          </w:p>
        </w:tc>
        <w:tc>
          <w:tcPr>
            <w:tcW w:type="dxa" w:w="3175"/>
            <w:shd w:val="clear" w:color="auto" w:fill="F3EFE6"/>
          </w:tcPr>
          <w:p>
            <w:pPr>
              <w:spacing w:after="0" w:before="0"/>
            </w:pPr>
            <w:r/>
            <w:r>
              <w:rPr>
                <w:b w:val="0"/>
                <w:i w:val="0"/>
                <w:color w:val="1A1A1A"/>
                <w:sz w:val="18"/>
              </w:rPr>
              <w:t>jährlich, Küche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Ungewogen im April: 14 von 52 Tonnen</w:t>
            </w:r>
          </w:p>
        </w:tc>
        <w:tc>
          <w:tcPr>
            <w:tcW w:type="dxa" w:w="1474"/>
          </w:tcPr>
          <w:p>
            <w:pPr>
              <w:spacing w:after="0" w:before="0"/>
            </w:pPr>
            <w:r/>
            <w:r>
              <w:rPr>
                <w:b w:val="0"/>
                <w:i w:val="0"/>
                <w:color w:val="1A1A1A"/>
                <w:sz w:val="18"/>
              </w:rPr>
              <w:t>1.070 kg</w:t>
            </w:r>
          </w:p>
        </w:tc>
        <w:tc>
          <w:tcPr>
            <w:tcW w:type="dxa" w:w="3175"/>
          </w:tcPr>
          <w:p>
            <w:pPr>
              <w:spacing w:after="0" w:before="0"/>
            </w:pPr>
            <w:r/>
            <w:r>
              <w:rPr>
                <w:b w:val="0"/>
                <w:i w:val="0"/>
                <w:color w:val="1A1A1A"/>
                <w:sz w:val="18"/>
              </w:rPr>
              <w:t>27 Prozent der Speisereste des Monats</w:t>
            </w:r>
          </w:p>
        </w:tc>
        <w:tc>
          <w:tcPr>
            <w:tcW w:type="dxa" w:w="1814"/>
          </w:tcPr>
          <w:p>
            <w:pPr>
              <w:spacing w:after="0" w:before="0"/>
            </w:pPr>
            <w:r/>
            <w:r>
              <w:rPr>
                <w:b w:val="0"/>
                <w:i w:val="0"/>
                <w:color w:val="1A1A1A"/>
                <w:sz w:val="18"/>
              </w:rPr>
            </w:r>
          </w:p>
        </w:tc>
      </w:tr>
    </w:tbl>
    <w:p>
      <w:pPr>
        <w:spacing w:after="40"/>
      </w:pPr>
    </w:p>
    <w:p>
      <w:r>
        <w:rPr>
          <w:b w:val="0"/>
          <w:i w:val="0"/>
        </w:rPr>
        <w:t>Die Rechnung stellt Stunden, Euro und Kilogramm nebeneinander, ohne sie zu verrechnen. Sie zeigt, dass ein Audit mit vier Wegen nicht mehr Zeit braucht als eines mit Ordnern: zwölf Stunden, so viel wie die anderthalb Tage im November. Was das erste Audit übersehen hatte, lässt sich nicht in Euro fassen. Es sind 1.070 Kilogramm, die in keiner Zahl des Hauses vorkamen.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Interne Audits in geplanten Abständen zu Konformität, Verwirklichung und Zielerreichung (9.2.1)</w:t>
            </w:r>
          </w:p>
        </w:tc>
        <w:tc>
          <w:tcPr>
            <w:tcW w:type="dxa" w:w="3175"/>
          </w:tcPr>
          <w:p>
            <w:pPr>
              <w:spacing w:after="0" w:before="0"/>
            </w:pPr>
            <w:r/>
            <w:r>
              <w:rPr>
                <w:b w:val="0"/>
                <w:i w:val="0"/>
                <w:color w:val="1A1A1A"/>
                <w:sz w:val="18"/>
              </w:rPr>
              <w:t>Auditplan Mai: drei Festlegungen, vier Wege</w:t>
            </w:r>
          </w:p>
        </w:tc>
        <w:tc>
          <w:tcPr>
            <w:tcW w:type="dxa" w:w="3175"/>
          </w:tcPr>
          <w:p>
            <w:pPr>
              <w:spacing w:after="0" w:before="0"/>
            </w:pPr>
            <w:r/>
            <w:r>
              <w:rPr>
                <w:b w:val="0"/>
                <w:i w:val="0"/>
                <w:color w:val="1A1A1A"/>
                <w:sz w:val="18"/>
              </w:rPr>
              <w:t>Methode: je Festlegung zwei bis drei Arten von Quellen</w:t>
            </w:r>
          </w:p>
        </w:tc>
      </w:tr>
      <w:tr>
        <w:trPr>
          <w:cantSplit w:val="true"/>
        </w:trPr>
        <w:tc>
          <w:tcPr>
            <w:tcW w:type="dxa" w:w="3288"/>
            <w:shd w:val="clear" w:color="auto" w:fill="F3EFE6"/>
          </w:tcPr>
          <w:p>
            <w:pPr>
              <w:spacing w:after="0" w:before="0"/>
            </w:pPr>
            <w:r/>
            <w:r>
              <w:rPr>
                <w:b w:val="0"/>
                <w:i w:val="0"/>
                <w:color w:val="1A1A1A"/>
                <w:sz w:val="18"/>
              </w:rPr>
              <w:t>Auditprogramm mit Methoden, Verantwortlichkeiten, Planung, Berichterstattung (9.2.2)</w:t>
            </w:r>
          </w:p>
        </w:tc>
        <w:tc>
          <w:tcPr>
            <w:tcW w:type="dxa" w:w="3175"/>
            <w:shd w:val="clear" w:color="auto" w:fill="F3EFE6"/>
          </w:tcPr>
          <w:p>
            <w:pPr>
              <w:spacing w:after="0" w:before="0"/>
            </w:pPr>
            <w:r/>
            <w:r>
              <w:rPr>
                <w:b w:val="0"/>
                <w:i w:val="0"/>
                <w:color w:val="1A1A1A"/>
                <w:sz w:val="18"/>
              </w:rPr>
              <w:t>Programm nennt die Methoden je Audit</w:t>
            </w:r>
          </w:p>
        </w:tc>
        <w:tc>
          <w:tcPr>
            <w:tcW w:type="dxa" w:w="3175"/>
            <w:shd w:val="clear" w:color="auto" w:fill="F3EFE6"/>
          </w:tcPr>
          <w:p>
            <w:pPr>
              <w:spacing w:after="0" w:before="0"/>
            </w:pPr>
            <w:r/>
            <w:r>
              <w:rPr>
                <w:b w:val="0"/>
                <w:i w:val="0"/>
                <w:color w:val="1A1A1A"/>
                <w:sz w:val="18"/>
              </w:rPr>
              <w:t>ISO 19011:2026: Einteilung nach Ort und Gespräch; erweiterte Anleitung zu Fernmethoden</w:t>
            </w:r>
          </w:p>
        </w:tc>
      </w:tr>
      <w:tr>
        <w:trPr>
          <w:cantSplit w:val="true"/>
        </w:trPr>
        <w:tc>
          <w:tcPr>
            <w:tcW w:type="dxa" w:w="3288"/>
          </w:tcPr>
          <w:p>
            <w:pPr>
              <w:spacing w:after="0" w:before="0"/>
            </w:pPr>
            <w:r/>
            <w:r>
              <w:rPr>
                <w:b w:val="0"/>
                <w:i w:val="0"/>
                <w:color w:val="1A1A1A"/>
                <w:sz w:val="18"/>
              </w:rPr>
              <w:t>Kriterien und Umfang je Audit (9.2.2)</w:t>
            </w:r>
          </w:p>
        </w:tc>
        <w:tc>
          <w:tcPr>
            <w:tcW w:type="dxa" w:w="3175"/>
          </w:tcPr>
          <w:p>
            <w:pPr>
              <w:spacing w:after="0" w:before="0"/>
            </w:pPr>
            <w:r/>
            <w:r>
              <w:rPr>
                <w:b w:val="0"/>
                <w:i w:val="0"/>
                <w:color w:val="1A1A1A"/>
                <w:sz w:val="18"/>
              </w:rPr>
              <w:t>drei Festlegungen der Direktion; Februar bis April</w:t>
            </w:r>
          </w:p>
        </w:tc>
        <w:tc>
          <w:tcPr>
            <w:tcW w:type="dxa" w:w="3175"/>
          </w:tcPr>
          <w:p>
            <w:pPr>
              <w:spacing w:after="0" w:before="0"/>
            </w:pPr>
            <w:r/>
            <w:r>
              <w:rPr>
                <w:b w:val="0"/>
                <w:i w:val="0"/>
                <w:color w:val="1A1A1A"/>
                <w:sz w:val="18"/>
              </w:rPr>
              <w:t>ISO 19011:2026: Ziele, Umfang, Kriterien und Methoden des Einzelaudits</w:t>
            </w:r>
          </w:p>
        </w:tc>
      </w:tr>
      <w:tr>
        <w:trPr>
          <w:cantSplit w:val="true"/>
        </w:trPr>
        <w:tc>
          <w:tcPr>
            <w:tcW w:type="dxa" w:w="3288"/>
            <w:shd w:val="clear" w:color="auto" w:fill="F3EFE6"/>
          </w:tcPr>
          <w:p>
            <w:pPr>
              <w:spacing w:after="0" w:before="0"/>
            </w:pPr>
            <w:r/>
            <w:r>
              <w:rPr>
                <w:b w:val="0"/>
                <w:i w:val="0"/>
                <w:color w:val="1A1A1A"/>
                <w:sz w:val="18"/>
              </w:rPr>
              <w:t>Objektivität und Unparteilichkeit (9.2.2)</w:t>
            </w:r>
          </w:p>
        </w:tc>
        <w:tc>
          <w:tcPr>
            <w:tcW w:type="dxa" w:w="3175"/>
            <w:shd w:val="clear" w:color="auto" w:fill="F3EFE6"/>
          </w:tcPr>
          <w:p>
            <w:pPr>
              <w:spacing w:after="0" w:before="0"/>
            </w:pPr>
            <w:r/>
            <w:r>
              <w:rPr>
                <w:b w:val="0"/>
                <w:i w:val="0"/>
                <w:color w:val="1A1A1A"/>
                <w:sz w:val="18"/>
              </w:rPr>
              <w:t>Kreuzaudit; Stichprobe vom Auditor gezogen</w:t>
            </w:r>
          </w:p>
        </w:tc>
        <w:tc>
          <w:tcPr>
            <w:tcW w:type="dxa" w:w="3175"/>
            <w:shd w:val="clear" w:color="auto" w:fill="F3EFE6"/>
          </w:tcPr>
          <w:p>
            <w:pPr>
              <w:spacing w:after="0" w:before="0"/>
            </w:pPr>
            <w:r/>
            <w:r>
              <w:rPr>
                <w:b w:val="0"/>
                <w:i w:val="0"/>
                <w:color w:val="1A1A1A"/>
                <w:sz w:val="18"/>
              </w:rPr>
              <w:t>A.21: nicht die eigene Arbeit prüfen; Methode: Auswahlplan vorab</w:t>
            </w:r>
          </w:p>
        </w:tc>
      </w:tr>
      <w:tr>
        <w:trPr>
          <w:cantSplit w:val="true"/>
        </w:trPr>
        <w:tc>
          <w:tcPr>
            <w:tcW w:type="dxa" w:w="3288"/>
          </w:tcPr>
          <w:p>
            <w:pPr>
              <w:spacing w:after="0" w:before="0"/>
            </w:pPr>
            <w:r/>
            <w:r>
              <w:rPr>
                <w:b w:val="0"/>
                <w:i w:val="0"/>
                <w:color w:val="1A1A1A"/>
                <w:sz w:val="18"/>
              </w:rPr>
              <w:t>Nachweise der Überwachung aufbewahren (9.1)</w:t>
            </w:r>
          </w:p>
        </w:tc>
        <w:tc>
          <w:tcPr>
            <w:tcW w:type="dxa" w:w="3175"/>
          </w:tcPr>
          <w:p>
            <w:pPr>
              <w:spacing w:after="0" w:before="0"/>
            </w:pPr>
            <w:r/>
            <w:r>
              <w:rPr>
                <w:b w:val="0"/>
                <w:i w:val="0"/>
                <w:color w:val="1A1A1A"/>
                <w:sz w:val="18"/>
              </w:rPr>
              <w:t>Wiegeliste, Wiegescheine, Bankettformulare</w:t>
            </w:r>
          </w:p>
        </w:tc>
        <w:tc>
          <w:tcPr>
            <w:tcW w:type="dxa" w:w="3175"/>
          </w:tcPr>
          <w:p>
            <w:pPr>
              <w:spacing w:after="0" w:before="0"/>
            </w:pPr>
            <w:r/>
            <w:r>
              <w:rPr>
                <w:b w:val="0"/>
                <w:i w:val="0"/>
                <w:color w:val="1A1A1A"/>
                <w:sz w:val="18"/>
              </w:rPr>
              <w:t>Methode: zwei unabhängige Aufzeichnungen abgleichen</w:t>
            </w:r>
          </w:p>
        </w:tc>
      </w:tr>
      <w:tr>
        <w:trPr>
          <w:cantSplit w:val="true"/>
        </w:trPr>
        <w:tc>
          <w:tcPr>
            <w:tcW w:type="dxa" w:w="3288"/>
            <w:shd w:val="clear" w:color="auto" w:fill="F3EFE6"/>
          </w:tcPr>
          <w:p>
            <w:pPr>
              <w:spacing w:after="0" w:before="0"/>
            </w:pPr>
            <w:r/>
            <w:r>
              <w:rPr>
                <w:b w:val="0"/>
                <w:i w:val="0"/>
                <w:color w:val="1A1A1A"/>
                <w:sz w:val="18"/>
              </w:rPr>
              <w:t>Ergebnisse an die zuständige Leitung (9.2.2)</w:t>
            </w:r>
          </w:p>
        </w:tc>
        <w:tc>
          <w:tcPr>
            <w:tcW w:type="dxa" w:w="3175"/>
            <w:shd w:val="clear" w:color="auto" w:fill="F3EFE6"/>
          </w:tcPr>
          <w:p>
            <w:pPr>
              <w:spacing w:after="0" w:before="0"/>
            </w:pPr>
            <w:r/>
            <w:r>
              <w:rPr>
                <w:b w:val="0"/>
                <w:i w:val="0"/>
                <w:color w:val="1A1A1A"/>
                <w:sz w:val="18"/>
              </w:rPr>
              <w:t>Bericht an die Direktorin</w:t>
            </w:r>
          </w:p>
        </w:tc>
        <w:tc>
          <w:tcPr>
            <w:tcW w:type="dxa" w:w="3175"/>
            <w:shd w:val="clear" w:color="auto" w:fill="F3EFE6"/>
          </w:tcPr>
          <w:p>
            <w:pPr>
              <w:spacing w:after="0" w:before="0"/>
            </w:pPr>
            <w:r/>
            <w:r>
              <w:rPr>
                <w:b w:val="0"/>
                <w:i w:val="0"/>
                <w:color w:val="1A1A1A"/>
                <w:sz w:val="18"/>
              </w:rPr>
              <w:t>Methode: Grenze der Stichprobe im Bericht nennen (3.12)</w:t>
            </w:r>
          </w:p>
        </w:tc>
      </w:tr>
    </w:tbl>
    <w:p>
      <w:pPr>
        <w:spacing w:after="40"/>
      </w:pPr>
    </w:p>
    <w:p>
      <w:pPr>
        <w:pStyle w:val="Heading2"/>
      </w:pPr>
      <w:r>
        <w:t>DACH-Anker: wo das Recht die Methoden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Notizen aus Gesprächen</w:t>
            </w:r>
          </w:p>
        </w:tc>
        <w:tc>
          <w:tcPr>
            <w:tcW w:type="dxa" w:w="2721"/>
          </w:tcPr>
          <w:p>
            <w:pPr>
              <w:spacing w:after="0" w:before="0"/>
            </w:pPr>
            <w:r/>
            <w:r>
              <w:rPr>
                <w:b w:val="0"/>
                <w:i w:val="0"/>
                <w:color w:val="1A1A1A"/>
                <w:sz w:val="17"/>
              </w:rPr>
              <w:t>DSGVO: festgelegter Zweck, Datenminimierung (Art. 5 Abs. 1 b, c)</w:t>
            </w:r>
          </w:p>
        </w:tc>
        <w:tc>
          <w:tcPr>
            <w:tcW w:type="dxa" w:w="2721"/>
          </w:tcPr>
          <w:p>
            <w:pPr>
              <w:spacing w:after="0" w:before="0"/>
            </w:pPr>
            <w:r/>
            <w:r>
              <w:rPr>
                <w:b w:val="0"/>
                <w:i w:val="0"/>
                <w:color w:val="1A1A1A"/>
                <w:sz w:val="17"/>
              </w:rPr>
              <w:t>DSGVO, ebenso</w:t>
            </w:r>
          </w:p>
        </w:tc>
        <w:tc>
          <w:tcPr>
            <w:tcW w:type="dxa" w:w="2721"/>
          </w:tcPr>
          <w:p>
            <w:pPr>
              <w:spacing w:after="0" w:before="0"/>
            </w:pPr>
            <w:r/>
            <w:r>
              <w:rPr>
                <w:b w:val="0"/>
                <w:i w:val="0"/>
                <w:color w:val="1A1A1A"/>
                <w:sz w:val="17"/>
              </w:rPr>
              <w:t>Datenschutzgesetz, totalrevidiert, in Kraft seit 1. September 2023</w:t>
            </w:r>
          </w:p>
        </w:tc>
      </w:tr>
      <w:tr>
        <w:trPr>
          <w:cantSplit w:val="true"/>
        </w:trPr>
        <w:tc>
          <w:tcPr>
            <w:tcW w:type="dxa" w:w="1474"/>
            <w:shd w:val="clear" w:color="auto" w:fill="F3EFE6"/>
          </w:tcPr>
          <w:p>
            <w:pPr>
              <w:spacing w:after="0" w:before="0"/>
            </w:pPr>
            <w:r/>
            <w:r>
              <w:rPr>
                <w:b w:val="0"/>
                <w:i w:val="0"/>
                <w:color w:val="1A1A1A"/>
                <w:sz w:val="17"/>
              </w:rPr>
              <w:t>Fotos bei der Beobachtung</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Bankettformulare mit Allergien und Unterstützungsbedarf</w:t>
            </w:r>
          </w:p>
        </w:tc>
        <w:tc>
          <w:tcPr>
            <w:tcW w:type="dxa" w:w="2721"/>
          </w:tcPr>
          <w:p>
            <w:pPr>
              <w:spacing w:after="0" w:before="0"/>
            </w:pPr>
            <w:r/>
            <w:r>
              <w:rPr>
                <w:b w:val="0"/>
                <w:i w:val="0"/>
                <w:color w:val="1A1A1A"/>
                <w:sz w:val="17"/>
              </w:rPr>
              <w:t>besondere Kategorie von Daten (Art. 9 DSGVO)</w:t>
            </w:r>
          </w:p>
        </w:tc>
        <w:tc>
          <w:tcPr>
            <w:tcW w:type="dxa" w:w="2721"/>
          </w:tcPr>
          <w:p>
            <w:pPr>
              <w:spacing w:after="0" w:before="0"/>
            </w:pPr>
            <w:r/>
            <w:r>
              <w:rPr>
                <w:b w:val="0"/>
                <w:i w:val="0"/>
                <w:color w:val="1A1A1A"/>
                <w:sz w:val="17"/>
              </w:rPr>
              <w:t>besondere Kategorie von Daten (Art. 9 DSGVO)</w:t>
            </w:r>
          </w:p>
        </w:tc>
        <w:tc>
          <w:tcPr>
            <w:tcW w:type="dxa" w:w="2721"/>
          </w:tcPr>
          <w:p>
            <w:pPr>
              <w:spacing w:after="0" w:before="0"/>
            </w:pPr>
            <w:r/>
            <w:r>
              <w:rPr>
                <w:b w:val="0"/>
                <w:i w:val="0"/>
                <w:color w:val="1A1A1A"/>
                <w:sz w:val="17"/>
              </w:rPr>
              <w:t>besonders schützenswerte Personendaten (Art. 5 lit. c DSG)</w:t>
            </w:r>
          </w:p>
        </w:tc>
      </w:tr>
      <w:tr>
        <w:trPr>
          <w:cantSplit w:val="true"/>
        </w:trPr>
        <w:tc>
          <w:tcPr>
            <w:tcW w:type="dxa" w:w="1474"/>
            <w:shd w:val="clear" w:color="auto" w:fill="F3EFE6"/>
          </w:tcPr>
          <w:p>
            <w:pPr>
              <w:spacing w:after="0" w:before="0"/>
            </w:pPr>
            <w:r/>
            <w:r>
              <w:rPr>
                <w:b w:val="0"/>
                <w:i w:val="0"/>
                <w:color w:val="1A1A1A"/>
                <w:sz w:val="17"/>
              </w:rPr>
              <w:t>Belege über Speisereste und Abfälle</w:t>
            </w:r>
          </w:p>
        </w:tc>
        <w:tc>
          <w:tcPr>
            <w:tcW w:type="dxa" w:w="2721"/>
            <w:shd w:val="clear" w:color="auto" w:fill="F3EFE6"/>
          </w:tcPr>
          <w:p>
            <w:pPr>
              <w:spacing w:after="0" w:before="0"/>
            </w:pPr>
            <w:r/>
            <w:r>
              <w:rPr>
                <w:b w:val="0"/>
                <w:i w:val="0"/>
                <w:color w:val="1A1A1A"/>
                <w:sz w:val="17"/>
              </w:rPr>
              <w:t>Getrennthaltung dokumentieren, etwa mit Lichtbildern und Wiegescheinen (§ 3 GewAbfV)</w:t>
            </w:r>
          </w:p>
        </w:tc>
        <w:tc>
          <w:tcPr>
            <w:tcW w:type="dxa" w:w="2721"/>
            <w:shd w:val="clear" w:color="auto" w:fill="F3EFE6"/>
          </w:tcPr>
          <w:p>
            <w:pPr>
              <w:spacing w:after="0" w:before="0"/>
            </w:pPr>
            <w:r/>
            <w:r>
              <w:rPr>
                <w:b w:val="0"/>
                <w:i w:val="0"/>
                <w:color w:val="1A1A1A"/>
                <w:sz w:val="17"/>
              </w:rPr>
              <w:t>Aufzeichnungen über Art, Menge, Herkunft und Verbleib, sieben Jahre aufbewahren (§ 17 AWG 2002)</w:t>
            </w:r>
          </w:p>
        </w:tc>
        <w:tc>
          <w:tcPr>
            <w:tcW w:type="dxa" w:w="2721"/>
            <w:shd w:val="clear" w:color="auto" w:fill="F3EFE6"/>
          </w:tcPr>
          <w:p>
            <w:pPr>
              <w:spacing w:after="0" w:before="0"/>
            </w:pPr>
            <w:r/>
            <w:r>
              <w:rPr>
                <w:b w:val="0"/>
                <w:i w:val="0"/>
                <w:color w:val="1A1A1A"/>
                <w:sz w:val="17"/>
              </w:rPr>
              <w:t>Vorgaben von Kanton und Gemeinde</w:t>
            </w:r>
          </w:p>
        </w:tc>
      </w:tr>
      <w:tr>
        <w:trPr>
          <w:cantSplit w:val="true"/>
        </w:trPr>
        <w:tc>
          <w:tcPr>
            <w:tcW w:type="dxa" w:w="1474"/>
          </w:tcPr>
          <w:p>
            <w:pPr>
              <w:spacing w:after="0" w:before="0"/>
            </w:pPr>
            <w:r/>
            <w:r>
              <w:rPr>
                <w:b w:val="0"/>
                <w:i w:val="0"/>
                <w:color w:val="1A1A1A"/>
                <w:sz w:val="17"/>
              </w:rPr>
              <w:t>Aushilfen einer Agentur</w:t>
            </w:r>
          </w:p>
        </w:tc>
        <w:tc>
          <w:tcPr>
            <w:tcW w:type="dxa" w:w="2721"/>
          </w:tcPr>
          <w:p>
            <w:pPr>
              <w:spacing w:after="0" w:before="0"/>
            </w:pPr>
            <w:r/>
            <w:r>
              <w:rPr>
                <w:b w:val="0"/>
                <w:i w:val="0"/>
                <w:color w:val="1A1A1A"/>
                <w:sz w:val="17"/>
              </w:rPr>
              <w:t>Unterweisung trifft den Entleiher (§ 12 Abs. 2 ArbSchG)</w:t>
            </w:r>
          </w:p>
        </w:tc>
        <w:tc>
          <w:tcPr>
            <w:tcW w:type="dxa" w:w="2721"/>
          </w:tcPr>
          <w:p>
            <w:pPr>
              <w:spacing w:after="0" w:before="0"/>
            </w:pPr>
            <w:r/>
            <w:r>
              <w:rPr>
                <w:b w:val="0"/>
                <w:i w:val="0"/>
                <w:color w:val="1A1A1A"/>
                <w:sz w:val="17"/>
              </w:rPr>
              <w:t>Beschäftiger gilt als Arbeitgeber im Arbeitnehmerschutz (§ 6 AÜG)</w:t>
            </w:r>
          </w:p>
        </w:tc>
        <w:tc>
          <w:tcPr>
            <w:tcW w:type="dxa" w:w="2721"/>
          </w:tcPr>
          <w:p>
            <w:pPr>
              <w:spacing w:after="0" w:before="0"/>
            </w:pPr>
            <w:r/>
            <w:r>
              <w:rPr>
                <w:b w:val="0"/>
                <w:i w:val="0"/>
                <w:color w:val="1A1A1A"/>
                <w:sz w:val="17"/>
              </w:rPr>
              <w:t>Information und Anleitung auch für Arbeitnehmer eines anderen Betriebes (Art. 6 Abs. 1 VUV)</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3.4 — Auditmethoden wählen und verbinden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