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3.5</w:t>
      </w:r>
    </w:p>
    <w:p>
      <w:pPr>
        <w:pStyle w:val="Heading1"/>
      </w:pPr>
      <w:r>
        <w:t>Ein Prozessaudit entlang einer Veranstaltung</w:t>
      </w:r>
    </w:p>
    <w:p>
      <w:pPr>
        <w:spacing w:after="0"/>
      </w:pPr>
      <w:r>
        <w:rPr>
          <w:b w:val="0"/>
          <w:i/>
          <w:color w:val="5A5A5A"/>
        </w:rPr>
        <w:t>Abschnitt 3.5 · Prozessaudit: der Veranstaltungszyklus vom Angebot bis zur Abrechnung</w:t>
      </w:r>
    </w:p>
    <w:p>
      <w:pPr>
        <w:spacing w:after="160"/>
      </w:pPr>
      <w:r>
        <w:rPr>
          <w:b w:val="0"/>
          <w:i w:val="0"/>
          <w:color w:val="5A5A5A"/>
          <w:sz w:val="18"/>
        </w:rPr>
        <w:t>Modellfall im Buch: Linz</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Ihr Verkauf einem Kunden etwas zusagt, das über den Standard Ihres Hauses hinausgeht: Auf welchem Papier kommt diese Zusage in der Küche, an der Bar und in der Buchhaltung an? Und hat Ihr internes Audit je eine einzige Veranstaltung durch alle diese Papiere verfolgt?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Fünf von sechs Übergaben und die Fragen des Prozessaudits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Übergabe</w:t>
            </w:r>
          </w:p>
        </w:tc>
        <w:tc>
          <w:tcPr>
            <w:tcW w:type="dxa" w:w="3213"/>
            <w:shd w:val="clear" w:color="auto" w:fill="8C5A2B"/>
          </w:tcPr>
          <w:p>
            <w:pPr>
              <w:spacing w:after="0" w:before="0"/>
            </w:pPr>
            <w:r/>
            <w:r>
              <w:rPr>
                <w:b/>
                <w:i w:val="0"/>
                <w:color w:val="FFFFFF"/>
                <w:sz w:val="18"/>
              </w:rPr>
              <w:t>Frage der Auditorin</w:t>
            </w:r>
          </w:p>
        </w:tc>
        <w:tc>
          <w:tcPr>
            <w:tcW w:type="dxa" w:w="3213"/>
            <w:shd w:val="clear" w:color="auto" w:fill="8C5A2B"/>
          </w:tcPr>
          <w:p>
            <w:pPr>
              <w:spacing w:after="0" w:before="0"/>
            </w:pPr>
            <w:r/>
            <w:r>
              <w:rPr>
                <w:b/>
                <w:i w:val="0"/>
                <w:color w:val="FFFFFF"/>
                <w:sz w:val="18"/>
              </w:rPr>
              <w:t>Fund in Linz</w:t>
            </w:r>
          </w:p>
        </w:tc>
      </w:tr>
      <w:tr>
        <w:trPr>
          <w:cantSplit w:val="true"/>
        </w:trPr>
        <w:tc>
          <w:tcPr>
            <w:tcW w:type="dxa" w:w="3213"/>
          </w:tcPr>
          <w:p>
            <w:pPr>
              <w:spacing w:after="0" w:before="0"/>
            </w:pPr>
            <w:r/>
            <w:r>
              <w:rPr>
                <w:b w:val="0"/>
                <w:i w:val="0"/>
                <w:color w:val="1A1A1A"/>
                <w:sz w:val="18"/>
              </w:rPr>
              <w:t>Angebot an Vertrag</w:t>
            </w:r>
          </w:p>
        </w:tc>
        <w:tc>
          <w:tcPr>
            <w:tcW w:type="dxa" w:w="3213"/>
          </w:tcPr>
          <w:p>
            <w:pPr>
              <w:spacing w:after="0" w:before="0"/>
            </w:pPr>
            <w:r/>
            <w:r>
              <w:rPr>
                <w:b w:val="0"/>
                <w:i w:val="0"/>
                <w:color w:val="1A1A1A"/>
                <w:sz w:val="18"/>
              </w:rPr>
              <w:t>Was ist zugesagt, und was davon ist verbindlich?</w:t>
            </w:r>
          </w:p>
        </w:tc>
        <w:tc>
          <w:tcPr>
            <w:tcW w:type="dxa" w:w="3213"/>
          </w:tcPr>
          <w:p>
            <w:pPr>
              <w:spacing w:after="0" w:before="0"/>
            </w:pPr>
            <w:r/>
            <w:r>
              <w:rPr>
                <w:b w:val="0"/>
                <w:i w:val="0"/>
                <w:color w:val="1A1A1A"/>
                <w:sz w:val="18"/>
              </w:rPr>
              <w:t>Angebot als Bestandteil: alles, ohne Aufzählung</w:t>
            </w:r>
          </w:p>
        </w:tc>
      </w:tr>
      <w:tr>
        <w:trPr>
          <w:cantSplit w:val="true"/>
        </w:trPr>
        <w:tc>
          <w:tcPr>
            <w:tcW w:type="dxa" w:w="3213"/>
            <w:shd w:val="clear" w:color="auto" w:fill="F3EFE6"/>
          </w:tcPr>
          <w:p>
            <w:pPr>
              <w:spacing w:after="0" w:before="0"/>
            </w:pPr>
            <w:r/>
            <w:r>
              <w:rPr>
                <w:b w:val="0"/>
                <w:i w:val="0"/>
                <w:color w:val="1A1A1A"/>
                <w:sz w:val="18"/>
              </w:rPr>
              <w:t>Vertrag an Bankettformular</w:t>
            </w:r>
          </w:p>
        </w:tc>
        <w:tc>
          <w:tcPr>
            <w:tcW w:type="dxa" w:w="3213"/>
            <w:shd w:val="clear" w:color="auto" w:fill="F3EFE6"/>
          </w:tcPr>
          <w:p>
            <w:pPr>
              <w:spacing w:after="0" w:before="0"/>
            </w:pPr>
            <w:r/>
            <w:r>
              <w:rPr>
                <w:b w:val="0"/>
                <w:i w:val="0"/>
                <w:color w:val="1A1A1A"/>
                <w:sz w:val="18"/>
              </w:rPr>
              <w:t>Wo steht jede Zusage im Arbeitspapier?</w:t>
            </w:r>
          </w:p>
        </w:tc>
        <w:tc>
          <w:tcPr>
            <w:tcW w:type="dxa" w:w="3213"/>
            <w:shd w:val="clear" w:color="auto" w:fill="F3EFE6"/>
          </w:tcPr>
          <w:p>
            <w:pPr>
              <w:spacing w:after="0" w:before="0"/>
            </w:pPr>
            <w:r/>
            <w:r>
              <w:rPr>
                <w:b w:val="0"/>
                <w:i w:val="0"/>
                <w:color w:val="1A1A1A"/>
                <w:sz w:val="18"/>
              </w:rPr>
              <w:t>Mehrweg und Abfallmengen ohne Feld</w:t>
            </w:r>
          </w:p>
        </w:tc>
      </w:tr>
      <w:tr>
        <w:trPr>
          <w:cantSplit w:val="true"/>
        </w:trPr>
        <w:tc>
          <w:tcPr>
            <w:tcW w:type="dxa" w:w="3213"/>
          </w:tcPr>
          <w:p>
            <w:pPr>
              <w:spacing w:after="0" w:before="0"/>
            </w:pPr>
            <w:r/>
            <w:r>
              <w:rPr>
                <w:b w:val="0"/>
                <w:i w:val="0"/>
                <w:color w:val="1A1A1A"/>
                <w:sz w:val="18"/>
              </w:rPr>
              <w:t>Bankettformular an Bar und Einkauf</w:t>
            </w:r>
          </w:p>
        </w:tc>
        <w:tc>
          <w:tcPr>
            <w:tcW w:type="dxa" w:w="3213"/>
          </w:tcPr>
          <w:p>
            <w:pPr>
              <w:spacing w:after="0" w:before="0"/>
            </w:pPr>
            <w:r/>
            <w:r>
              <w:rPr>
                <w:b w:val="0"/>
                <w:i w:val="0"/>
                <w:color w:val="1A1A1A"/>
                <w:sz w:val="18"/>
              </w:rPr>
              <w:t>Wonach wurde bestellt?</w:t>
            </w:r>
          </w:p>
        </w:tc>
        <w:tc>
          <w:tcPr>
            <w:tcW w:type="dxa" w:w="3213"/>
          </w:tcPr>
          <w:p>
            <w:pPr>
              <w:spacing w:after="0" w:before="0"/>
            </w:pPr>
            <w:r/>
            <w:r>
              <w:rPr>
                <w:b w:val="0"/>
                <w:i w:val="0"/>
                <w:color w:val="1A1A1A"/>
                <w:sz w:val="18"/>
              </w:rPr>
              <w:t>Hausregel Terrasse statt Zusage</w:t>
            </w:r>
          </w:p>
        </w:tc>
      </w:tr>
      <w:tr>
        <w:trPr>
          <w:cantSplit w:val="true"/>
        </w:trPr>
        <w:tc>
          <w:tcPr>
            <w:tcW w:type="dxa" w:w="3213"/>
            <w:shd w:val="clear" w:color="auto" w:fill="F3EFE6"/>
          </w:tcPr>
          <w:p>
            <w:pPr>
              <w:spacing w:after="0" w:before="0"/>
            </w:pPr>
            <w:r/>
            <w:r>
              <w:rPr>
                <w:b w:val="0"/>
                <w:i w:val="0"/>
                <w:color w:val="1A1A1A"/>
                <w:sz w:val="18"/>
              </w:rPr>
              <w:t>Durchführung an Abrechnung</w:t>
            </w:r>
          </w:p>
        </w:tc>
        <w:tc>
          <w:tcPr>
            <w:tcW w:type="dxa" w:w="3213"/>
            <w:shd w:val="clear" w:color="auto" w:fill="F3EFE6"/>
          </w:tcPr>
          <w:p>
            <w:pPr>
              <w:spacing w:after="0" w:before="0"/>
            </w:pPr>
            <w:r/>
            <w:r>
              <w:rPr>
                <w:b w:val="0"/>
                <w:i w:val="0"/>
                <w:color w:val="1A1A1A"/>
                <w:sz w:val="18"/>
              </w:rPr>
              <w:t>Was geht mit der Rechnung an den Kunden?</w:t>
            </w:r>
          </w:p>
        </w:tc>
        <w:tc>
          <w:tcPr>
            <w:tcW w:type="dxa" w:w="3213"/>
            <w:shd w:val="clear" w:color="auto" w:fill="F3EFE6"/>
          </w:tcPr>
          <w:p>
            <w:pPr>
              <w:spacing w:after="0" w:before="0"/>
            </w:pPr>
            <w:r/>
            <w:r>
              <w:rPr>
                <w:b w:val="0"/>
                <w:i w:val="0"/>
                <w:color w:val="1A1A1A"/>
                <w:sz w:val="18"/>
              </w:rPr>
              <w:t>Abfallmengen fehlen; Wiegeliste in der Küche</w:t>
            </w:r>
          </w:p>
        </w:tc>
      </w:tr>
      <w:tr>
        <w:trPr>
          <w:cantSplit w:val="true"/>
        </w:trPr>
        <w:tc>
          <w:tcPr>
            <w:tcW w:type="dxa" w:w="3213"/>
          </w:tcPr>
          <w:p>
            <w:pPr>
              <w:spacing w:after="0" w:before="0"/>
            </w:pPr>
            <w:r/>
            <w:r>
              <w:rPr>
                <w:b w:val="0"/>
                <w:i w:val="0"/>
                <w:color w:val="1A1A1A"/>
                <w:sz w:val="18"/>
              </w:rPr>
              <w:t>Abrechnung an Nachbereitung</w:t>
            </w:r>
          </w:p>
        </w:tc>
        <w:tc>
          <w:tcPr>
            <w:tcW w:type="dxa" w:w="3213"/>
          </w:tcPr>
          <w:p>
            <w:pPr>
              <w:spacing w:after="0" w:before="0"/>
            </w:pPr>
            <w:r/>
            <w:r>
              <w:rPr>
                <w:b w:val="0"/>
                <w:i w:val="0"/>
                <w:color w:val="1A1A1A"/>
                <w:sz w:val="18"/>
              </w:rPr>
              <w:t>Was wird dem Kunden bestätigt, und auf welcher Grundlage?</w:t>
            </w:r>
          </w:p>
        </w:tc>
        <w:tc>
          <w:tcPr>
            <w:tcW w:type="dxa" w:w="3213"/>
          </w:tcPr>
          <w:p>
            <w:pPr>
              <w:spacing w:after="0" w:before="0"/>
            </w:pPr>
            <w:r/>
            <w:r>
              <w:rPr>
                <w:b w:val="0"/>
                <w:i w:val="0"/>
                <w:color w:val="1A1A1A"/>
                <w:sz w:val="18"/>
              </w:rPr>
              <w:t>Bestätigung ohne Rückfrage beim Bankett</w:t>
            </w:r>
          </w:p>
        </w:tc>
      </w:tr>
    </w:tbl>
    <w:p>
      <w:pPr>
        <w:spacing w:after="40"/>
      </w:pPr>
    </w:p>
    <w:p>
      <w:pPr>
        <w:pStyle w:val="Heading2"/>
      </w:pPr>
      <w:r>
        <w:t>Praktische Anwendung: ein Prozessaudit entlang einer Veranstaltung in sieben Schritten</w:t>
      </w:r>
    </w:p>
    <w:p>
      <w:pPr>
        <w:tabs>
          <w:tab w:pos="340" w:val="left"/>
        </w:tabs>
        <w:ind w:left="340" w:hanging="340"/>
      </w:pPr>
      <w:r>
        <w:rPr>
          <w:b/>
          <w:color w:val="8C5A2B"/>
        </w:rPr>
        <w:t>1.</w:t>
        <w:tab/>
      </w:r>
      <w:r>
        <w:rPr>
          <w:b/>
        </w:rPr>
        <w:t>Eine echte Veranstaltung wählen.</w:t>
      </w:r>
      <w:r>
        <w:t xml:space="preserve"> Am meisten zeigt eine, die mehr zusagt als Ihren Standard, an der fremde Dienstleister beteiligt sind und alle Abteilungen mitarbeiten. Wählen Sie vorher, damit Sie bei der Durchführung dabei sein können.</w:t>
      </w:r>
    </w:p>
    <w:p>
      <w:pPr>
        <w:tabs>
          <w:tab w:pos="340" w:val="left"/>
        </w:tabs>
        <w:ind w:left="340" w:hanging="340"/>
      </w:pPr>
      <w:r>
        <w:rPr>
          <w:b/>
          <w:color w:val="8C5A2B"/>
        </w:rPr>
        <w:t>2.</w:t>
        <w:tab/>
      </w:r>
      <w:r>
        <w:rPr>
          <w:b/>
        </w:rPr>
        <w:t>Stationen und Übergaben aufzeichnen.</w:t>
      </w:r>
      <w:r>
        <w:t xml:space="preserve"> Skizzieren Sie den Weg vom Angebot bis zur Nachbereitung mit jedem Papier, das unterwegs entsteht. Jede Stelle, an der ein Papier die Hand wechselt, ist eine Übergabe.</w:t>
      </w:r>
    </w:p>
    <w:p>
      <w:pPr>
        <w:tabs>
          <w:tab w:pos="340" w:val="left"/>
        </w:tabs>
        <w:ind w:left="340" w:hanging="340"/>
      </w:pPr>
      <w:r>
        <w:rPr>
          <w:b/>
          <w:color w:val="8C5A2B"/>
        </w:rPr>
        <w:t>3.</w:t>
        <w:tab/>
      </w:r>
      <w:r>
        <w:rPr>
          <w:b/>
        </w:rPr>
        <w:t>Jede Zusage einzeln herausschreiben.</w:t>
      </w:r>
      <w:r>
        <w:t xml:space="preserve"> Lesen Sie Angebot, Vertrag und Schriftverkehr und notieren Sie jede Zusage als eigene Zeile. Ein Vertrag, der das Angebot nur als Bestandteil nennt, zählt keine auf.</w:t>
      </w:r>
    </w:p>
    <w:p>
      <w:pPr>
        <w:tabs>
          <w:tab w:pos="340" w:val="left"/>
        </w:tabs>
        <w:ind w:left="340" w:hanging="340"/>
      </w:pPr>
      <w:r>
        <w:rPr>
          <w:b/>
          <w:color w:val="8C5A2B"/>
        </w:rPr>
        <w:t>4.</w:t>
        <w:tab/>
      </w:r>
      <w:r>
        <w:rPr>
          <w:b/>
        </w:rPr>
        <w:t>An jeder Übergabe drei Fragen stellen.</w:t>
      </w:r>
      <w:r>
        <w:t xml:space="preserve"> Was hat die vorige Station zugesagt? Was hat die nächste bekommen und getan? Wer hätte bemerkt, wenn hier etwas verloren gegangen wäre?</w:t>
      </w:r>
    </w:p>
    <w:p>
      <w:pPr>
        <w:tabs>
          <w:tab w:pos="340" w:val="left"/>
        </w:tabs>
        <w:ind w:left="340" w:hanging="340"/>
      </w:pPr>
      <w:r>
        <w:rPr>
          <w:b/>
          <w:color w:val="8C5A2B"/>
        </w:rPr>
        <w:t>5.</w:t>
        <w:tab/>
      </w:r>
      <w:r>
        <w:rPr>
          <w:b/>
        </w:rPr>
        <w:t>Rückwärts der Spur folgen.</w:t>
      </w:r>
      <w:r>
        <w:t xml:space="preserve"> Lesen Sie Kostenstelle, Lieferscheine und Wiegeliste der Veranstaltung. Dort steht, was geschah, auch wenn es nirgends geplant war.</w:t>
      </w:r>
    </w:p>
    <w:p>
      <w:pPr>
        <w:tabs>
          <w:tab w:pos="340" w:val="left"/>
        </w:tabs>
        <w:ind w:left="340" w:hanging="340"/>
      </w:pPr>
      <w:r>
        <w:rPr>
          <w:b/>
          <w:color w:val="8C5A2B"/>
        </w:rPr>
        <w:t>6.</w:t>
        <w:tab/>
      </w:r>
      <w:r>
        <w:rPr>
          <w:b/>
        </w:rPr>
        <w:t>Bei der Durchführung dabei sein.</w:t>
      </w:r>
      <w:r>
        <w:t xml:space="preserve"> Gehen Sie zu den Stunden hin, in denen die Zusagen eingelöst werden. Schreiben Sie Uhrzeit, Ort und Zahl auf und greifen Sie nur bei Gefahr ein (3.7).</w:t>
      </w:r>
    </w:p>
    <w:p>
      <w:pPr>
        <w:tabs>
          <w:tab w:pos="340" w:val="left"/>
        </w:tabs>
        <w:ind w:left="340" w:hanging="340"/>
      </w:pPr>
      <w:r>
        <w:rPr>
          <w:b/>
          <w:color w:val="8C5A2B"/>
        </w:rPr>
        <w:t>7.</w:t>
        <w:tab/>
      </w:r>
      <w:r>
        <w:rPr>
          <w:b/>
        </w:rPr>
        <w:t>Den Fund der Übergabe zuordnen.</w:t>
      </w:r>
      <w:r>
        <w:t xml:space="preserve"> Schreiben Sie, zwischen welchen Papieren eine Zusage verloren ging, nicht, wer sie verloren hat. Die Ursache sucht danach das Haus (3.11).</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Eine echte Veranstaltung wählen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Stationen und Übergaben aufzeichnen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Jede Zusage einzeln herausschreiben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An jeder Übergabe drei Fragen stellen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Rückwärts der Spur folgen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Bei der Durchführung dabei sein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Den Fund der Übergabe zuordnen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Verfolgt unser internes Audit mindestens einmal im Jahr eine Veranstaltung vom Angebot bis zur Nachbereitung?</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Nennt jeder Vertrag die Zusagen zur Nachhaltigkeit einzeln?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Hat jede vertragliche Zusage ein Feld im Bankettformular?</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Steht neben jeder Zusage, wer sie einlöst und wer es prüft?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Widersprechen Hausregeln einer Zusage, und hat das jemand geprüft?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Gehen versprochene Nachweise mit der Rechnung oder bald danach an den Kunden?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Fragt der Verkauf beim Bankett nach, bevor er einem Kunden etwas bestätigt?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Liest das Audit auch Kostenstellen und Lieferscheine einer Veranstaltung?</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Nach dem Organigramm prüfen.</w:t>
      </w:r>
      <w:r>
        <w:t xml:space="preserve"> Jede Abteilung besteht, und die Lücke zwischen ihnen bleibt ungeprüft.</w:t>
      </w:r>
    </w:p>
    <w:p>
      <w:pPr>
        <w:tabs>
          <w:tab w:pos="340" w:val="left"/>
        </w:tabs>
        <w:ind w:left="340" w:hanging="340"/>
      </w:pPr>
      <w:r>
        <w:rPr>
          <w:color w:val="8C5A2B"/>
        </w:rPr>
        <w:t>–</w:t>
        <w:tab/>
      </w:r>
      <w:r>
        <w:rPr>
          <w:b/>
        </w:rPr>
        <w:t>Das Angebot aussparen.</w:t>
      </w:r>
      <w:r>
        <w:t xml:space="preserve"> Dort sagt das Haus nach außen, was es tun wird.</w:t>
      </w:r>
    </w:p>
    <w:p>
      <w:pPr>
        <w:tabs>
          <w:tab w:pos="340" w:val="left"/>
        </w:tabs>
        <w:ind w:left="340" w:hanging="340"/>
      </w:pPr>
      <w:r>
        <w:rPr>
          <w:color w:val="8C5A2B"/>
        </w:rPr>
        <w:t>–</w:t>
        <w:tab/>
      </w:r>
      <w:r>
        <w:rPr>
          <w:b/>
        </w:rPr>
        <w:t>Das Angebot als Bestandteil in den Vertrag nehmen.</w:t>
      </w:r>
      <w:r>
        <w:t xml:space="preserve"> Verbindlich wird alles, aufgezählt wird nichts.</w:t>
      </w:r>
    </w:p>
    <w:p>
      <w:pPr>
        <w:tabs>
          <w:tab w:pos="340" w:val="left"/>
        </w:tabs>
        <w:ind w:left="340" w:hanging="340"/>
      </w:pPr>
      <w:r>
        <w:rPr>
          <w:color w:val="8C5A2B"/>
        </w:rPr>
        <w:t>–</w:t>
        <w:tab/>
      </w:r>
      <w:r>
        <w:rPr>
          <w:b/>
        </w:rPr>
        <w:t>Bei der Abreise aufhören.</w:t>
      </w:r>
      <w:r>
        <w:t xml:space="preserve"> Rechnung und Nachbereitung sind die letzten Übergaben.</w:t>
      </w:r>
    </w:p>
    <w:p>
      <w:pPr>
        <w:tabs>
          <w:tab w:pos="340" w:val="left"/>
        </w:tabs>
        <w:ind w:left="340" w:hanging="340"/>
      </w:pPr>
      <w:r>
        <w:rPr>
          <w:color w:val="8C5A2B"/>
        </w:rPr>
        <w:t>–</w:t>
        <w:tab/>
      </w:r>
      <w:r>
        <w:rPr>
          <w:b/>
        </w:rPr>
        <w:t>Nur vorwärts lesen.</w:t>
      </w:r>
      <w:r>
        <w:t xml:space="preserve"> Was ungeplant geschah, steht auf der Kostenstelle.</w:t>
      </w:r>
    </w:p>
    <w:p>
      <w:pPr>
        <w:tabs>
          <w:tab w:pos="340" w:val="left"/>
        </w:tabs>
        <w:ind w:left="340" w:hanging="340"/>
      </w:pPr>
      <w:r>
        <w:rPr>
          <w:color w:val="8C5A2B"/>
        </w:rPr>
        <w:t>–</w:t>
        <w:tab/>
      </w:r>
      <w:r>
        <w:rPr>
          <w:b/>
        </w:rPr>
        <w:t>Den Fund einer Person zuschreiben.</w:t>
      </w:r>
      <w:r>
        <w:t xml:space="preserve"> Jeder hatte nach seinem Papier recht; die Lücke lag zwischen den Papieren.</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Sieben Stationen zu 1,5 Stunden</w:t>
            </w:r>
          </w:p>
        </w:tc>
        <w:tc>
          <w:tcPr>
            <w:tcW w:type="dxa" w:w="1474"/>
          </w:tcPr>
          <w:p>
            <w:pPr>
              <w:spacing w:after="0" w:before="0"/>
            </w:pPr>
            <w:r/>
            <w:r>
              <w:rPr>
                <w:b w:val="0"/>
                <w:i w:val="0"/>
                <w:color w:val="1A1A1A"/>
                <w:sz w:val="18"/>
              </w:rPr>
              <w:t>10,5 Stunden</w:t>
            </w:r>
          </w:p>
        </w:tc>
        <w:tc>
          <w:tcPr>
            <w:tcW w:type="dxa" w:w="3175"/>
          </w:tcPr>
          <w:p>
            <w:pPr>
              <w:spacing w:after="0" w:before="0"/>
            </w:pPr>
            <w:r/>
            <w:r>
              <w:rPr>
                <w:b w:val="0"/>
                <w:i w:val="0"/>
                <w:color w:val="1A1A1A"/>
                <w:sz w:val="18"/>
              </w:rPr>
              <w:t>Auditorin; Papiere und Gespräche</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Anwesenheit bei der Durchführung</w:t>
            </w:r>
          </w:p>
        </w:tc>
        <w:tc>
          <w:tcPr>
            <w:tcW w:type="dxa" w:w="1474"/>
            <w:shd w:val="clear" w:color="auto" w:fill="F3EFE6"/>
          </w:tcPr>
          <w:p>
            <w:pPr>
              <w:spacing w:after="0" w:before="0"/>
            </w:pPr>
            <w:r/>
            <w:r>
              <w:rPr>
                <w:b w:val="0"/>
                <w:i w:val="0"/>
                <w:color w:val="1A1A1A"/>
                <w:sz w:val="18"/>
              </w:rPr>
              <w:t>2,5 Stunden</w:t>
            </w:r>
          </w:p>
        </w:tc>
        <w:tc>
          <w:tcPr>
            <w:tcW w:type="dxa" w:w="3175"/>
            <w:shd w:val="clear" w:color="auto" w:fill="F3EFE6"/>
          </w:tcPr>
          <w:p>
            <w:pPr>
              <w:spacing w:after="0" w:before="0"/>
            </w:pPr>
            <w:r/>
            <w:r>
              <w:rPr>
                <w:b w:val="0"/>
                <w:i w:val="0"/>
                <w:color w:val="1A1A1A"/>
                <w:sz w:val="18"/>
              </w:rPr>
              <w:t>17 bis 19.30 Uhr</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Bericht und Schlussgespräch</w:t>
            </w:r>
          </w:p>
        </w:tc>
        <w:tc>
          <w:tcPr>
            <w:tcW w:type="dxa" w:w="1474"/>
          </w:tcPr>
          <w:p>
            <w:pPr>
              <w:spacing w:after="0" w:before="0"/>
            </w:pPr>
            <w:r/>
            <w:r>
              <w:rPr>
                <w:b w:val="0"/>
                <w:i w:val="0"/>
                <w:color w:val="1A1A1A"/>
                <w:sz w:val="18"/>
              </w:rPr>
              <w:t>3 Stunden</w:t>
            </w:r>
          </w:p>
        </w:tc>
        <w:tc>
          <w:tcPr>
            <w:tcW w:type="dxa" w:w="3175"/>
          </w:tcPr>
          <w:p>
            <w:pPr>
              <w:spacing w:after="0" w:before="0"/>
            </w:pPr>
            <w:r/>
            <w:r>
              <w:rPr>
                <w:b w:val="0"/>
                <w:i w:val="0"/>
                <w:color w:val="1A1A1A"/>
                <w:sz w:val="18"/>
              </w:rPr>
              <w:t>Auditorin, Verkauf, Bankett</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Summe: 16 Stunden zu € 45</w:t>
            </w:r>
          </w:p>
        </w:tc>
        <w:tc>
          <w:tcPr>
            <w:tcW w:type="dxa" w:w="1474"/>
            <w:shd w:val="clear" w:color="auto" w:fill="F3EFE6"/>
          </w:tcPr>
          <w:p>
            <w:pPr>
              <w:spacing w:after="0" w:before="0"/>
            </w:pPr>
            <w:r/>
            <w:r>
              <w:rPr>
                <w:b w:val="0"/>
                <w:i w:val="0"/>
                <w:color w:val="1A1A1A"/>
                <w:sz w:val="18"/>
              </w:rPr>
              <w:t>€ 720</w:t>
            </w:r>
          </w:p>
        </w:tc>
        <w:tc>
          <w:tcPr>
            <w:tcW w:type="dxa" w:w="3175"/>
            <w:shd w:val="clear" w:color="auto" w:fill="F3EFE6"/>
          </w:tcPr>
          <w:p>
            <w:pPr>
              <w:spacing w:after="0" w:before="0"/>
            </w:pPr>
            <w:r/>
            <w:r>
              <w:rPr>
                <w:b w:val="0"/>
                <w:i w:val="0"/>
                <w:color w:val="1A1A1A"/>
                <w:sz w:val="18"/>
              </w:rPr>
              <w:t>interne Kosten des Prozessaudits</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Mehrwegbecher für die Terrasse: 300 × € 1,20</w:t>
            </w:r>
          </w:p>
        </w:tc>
        <w:tc>
          <w:tcPr>
            <w:tcW w:type="dxa" w:w="1474"/>
          </w:tcPr>
          <w:p>
            <w:pPr>
              <w:spacing w:after="0" w:before="0"/>
            </w:pPr>
            <w:r/>
            <w:r>
              <w:rPr>
                <w:b w:val="0"/>
                <w:i w:val="0"/>
                <w:color w:val="1A1A1A"/>
                <w:sz w:val="18"/>
              </w:rPr>
              <w:t>€ 360</w:t>
            </w:r>
          </w:p>
        </w:tc>
        <w:tc>
          <w:tcPr>
            <w:tcW w:type="dxa" w:w="3175"/>
          </w:tcPr>
          <w:p>
            <w:pPr>
              <w:spacing w:after="0" w:before="0"/>
            </w:pPr>
            <w:r/>
            <w:r>
              <w:rPr>
                <w:b w:val="0"/>
                <w:i w:val="0"/>
                <w:color w:val="1A1A1A"/>
                <w:sz w:val="18"/>
              </w:rPr>
              <w:t>einmalig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Feld für Zusagen im Bankettformular</w:t>
            </w:r>
          </w:p>
        </w:tc>
        <w:tc>
          <w:tcPr>
            <w:tcW w:type="dxa" w:w="1474"/>
            <w:shd w:val="clear" w:color="auto" w:fill="F3EFE6"/>
          </w:tcPr>
          <w:p>
            <w:pPr>
              <w:spacing w:after="0" w:before="0"/>
            </w:pPr>
            <w:r/>
            <w:r>
              <w:rPr>
                <w:b w:val="0"/>
                <w:i w:val="0"/>
                <w:color w:val="1A1A1A"/>
                <w:sz w:val="18"/>
              </w:rPr>
              <w:t>4 Stunden</w:t>
            </w:r>
          </w:p>
        </w:tc>
        <w:tc>
          <w:tcPr>
            <w:tcW w:type="dxa" w:w="3175"/>
            <w:shd w:val="clear" w:color="auto" w:fill="F3EFE6"/>
          </w:tcPr>
          <w:p>
            <w:pPr>
              <w:spacing w:after="0" w:before="0"/>
            </w:pPr>
            <w:r/>
            <w:r>
              <w:rPr>
                <w:b w:val="0"/>
                <w:i w:val="0"/>
                <w:color w:val="1A1A1A"/>
                <w:sz w:val="18"/>
              </w:rPr>
              <w:t>einmalig, Bankett und Verkauf</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Veranstaltungen dieses Kunden im Jahr: 3</w:t>
            </w:r>
          </w:p>
        </w:tc>
        <w:tc>
          <w:tcPr>
            <w:tcW w:type="dxa" w:w="1474"/>
          </w:tcPr>
          <w:p>
            <w:pPr>
              <w:spacing w:after="0" w:before="0"/>
            </w:pPr>
            <w:r/>
            <w:r>
              <w:rPr>
                <w:b w:val="0"/>
                <w:i w:val="0"/>
                <w:color w:val="1A1A1A"/>
                <w:sz w:val="18"/>
              </w:rPr>
              <w:t>rund € 84.000</w:t>
            </w:r>
          </w:p>
        </w:tc>
        <w:tc>
          <w:tcPr>
            <w:tcW w:type="dxa" w:w="3175"/>
          </w:tcPr>
          <w:p>
            <w:pPr>
              <w:spacing w:after="0" w:before="0"/>
            </w:pPr>
            <w:r/>
            <w:r>
              <w:rPr>
                <w:b w:val="0"/>
                <w:i w:val="0"/>
                <w:color w:val="1A1A1A"/>
                <w:sz w:val="18"/>
              </w:rPr>
              <w:t>Umsatz, nicht Gewinn</w:t>
            </w:r>
          </w:p>
        </w:tc>
        <w:tc>
          <w:tcPr>
            <w:tcW w:type="dxa" w:w="1814"/>
          </w:tcPr>
          <w:p>
            <w:pPr>
              <w:spacing w:after="0" w:before="0"/>
            </w:pPr>
            <w:r/>
            <w:r>
              <w:rPr>
                <w:b w:val="0"/>
                <w:i w:val="0"/>
                <w:color w:val="1A1A1A"/>
                <w:sz w:val="18"/>
              </w:rPr>
            </w:r>
          </w:p>
        </w:tc>
      </w:tr>
    </w:tbl>
    <w:p>
      <w:pPr>
        <w:spacing w:after="40"/>
      </w:pPr>
    </w:p>
    <w:p>
      <w:r>
        <w:rPr>
          <w:b w:val="0"/>
          <w:i w:val="0"/>
        </w:rPr>
        <w:t>Die Rechnung hält Stunden und Euro getrennt. Ein Prozessaudit kostet das Haus rund zwei Arbeitstage und 720 Euro. Die letzte Zeile ist kein Schaden, den es verhindert hätte, sondern der Umsatz, der an der Beziehung zu diesem einen Kunden hängt. Wie viel davon Gewinn ist und ob eine falsche Bestätigung ihn gekostet hätte, sagt die Rechnung nicht. Sie zeigt nur, dass das Audit im Verhältnis dazu wenig kostet.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Prozesse und ihre Wechselwirkungen (4.4)</w:t>
            </w:r>
          </w:p>
        </w:tc>
        <w:tc>
          <w:tcPr>
            <w:tcW w:type="dxa" w:w="3175"/>
          </w:tcPr>
          <w:p>
            <w:pPr>
              <w:spacing w:after="0" w:before="0"/>
            </w:pPr>
            <w:r/>
            <w:r>
              <w:rPr>
                <w:b w:val="0"/>
                <w:i w:val="0"/>
                <w:color w:val="1A1A1A"/>
                <w:sz w:val="18"/>
              </w:rPr>
              <w:t>Skizze des Veranstaltungsprozesses: sieben Stationen, sechs Übergaben</w:t>
            </w:r>
          </w:p>
        </w:tc>
        <w:tc>
          <w:tcPr>
            <w:tcW w:type="dxa" w:w="3175"/>
          </w:tcPr>
          <w:p>
            <w:pPr>
              <w:spacing w:after="0" w:before="0"/>
            </w:pPr>
            <w:r/>
            <w:r>
              <w:rPr>
                <w:b w:val="0"/>
                <w:i w:val="0"/>
                <w:color w:val="1A1A1A"/>
                <w:sz w:val="18"/>
              </w:rPr>
              <w:t>Methode: Prozessaudit entlang einer echten Veranstaltung</w:t>
            </w:r>
          </w:p>
        </w:tc>
      </w:tr>
      <w:tr>
        <w:trPr>
          <w:cantSplit w:val="true"/>
        </w:trPr>
        <w:tc>
          <w:tcPr>
            <w:tcW w:type="dxa" w:w="3288"/>
            <w:shd w:val="clear" w:color="auto" w:fill="F3EFE6"/>
          </w:tcPr>
          <w:p>
            <w:pPr>
              <w:spacing w:after="0" w:before="0"/>
            </w:pPr>
            <w:r/>
            <w:r>
              <w:rPr>
                <w:b w:val="0"/>
                <w:i w:val="0"/>
                <w:color w:val="1A1A1A"/>
                <w:sz w:val="18"/>
              </w:rPr>
              <w:t>Kriterien festlegen, Prozesse danach steuern (8.1)</w:t>
            </w:r>
          </w:p>
        </w:tc>
        <w:tc>
          <w:tcPr>
            <w:tcW w:type="dxa" w:w="3175"/>
            <w:shd w:val="clear" w:color="auto" w:fill="F3EFE6"/>
          </w:tcPr>
          <w:p>
            <w:pPr>
              <w:spacing w:after="0" w:before="0"/>
            </w:pPr>
            <w:r/>
            <w:r>
              <w:rPr>
                <w:b w:val="0"/>
                <w:i w:val="0"/>
                <w:color w:val="1A1A1A"/>
                <w:sz w:val="18"/>
              </w:rPr>
              <w:t>Bankettformular mit einem Feld für vertragliche Zusagen</w:t>
            </w:r>
          </w:p>
        </w:tc>
        <w:tc>
          <w:tcPr>
            <w:tcW w:type="dxa" w:w="3175"/>
            <w:shd w:val="clear" w:color="auto" w:fill="F3EFE6"/>
          </w:tcPr>
          <w:p>
            <w:pPr>
              <w:spacing w:after="0" w:before="0"/>
            </w:pPr>
            <w:r/>
            <w:r>
              <w:rPr>
                <w:b w:val="0"/>
                <w:i w:val="0"/>
                <w:color w:val="1A1A1A"/>
                <w:sz w:val="18"/>
              </w:rPr>
              <w:t>Methode: jede Zusage mit Feld und Prüfer</w:t>
            </w:r>
          </w:p>
        </w:tc>
      </w:tr>
      <w:tr>
        <w:trPr>
          <w:cantSplit w:val="true"/>
        </w:trPr>
        <w:tc>
          <w:tcPr>
            <w:tcW w:type="dxa" w:w="3288"/>
          </w:tcPr>
          <w:p>
            <w:pPr>
              <w:spacing w:after="0" w:before="0"/>
            </w:pPr>
            <w:r/>
            <w:r>
              <w:rPr>
                <w:b w:val="0"/>
                <w:i w:val="0"/>
                <w:color w:val="1A1A1A"/>
                <w:sz w:val="18"/>
              </w:rPr>
              <w:t>Aufgegriffene Anforderungen interessierter Parteien bestimmen (4.2)</w:t>
            </w:r>
          </w:p>
        </w:tc>
        <w:tc>
          <w:tcPr>
            <w:tcW w:type="dxa" w:w="3175"/>
          </w:tcPr>
          <w:p>
            <w:pPr>
              <w:spacing w:after="0" w:before="0"/>
            </w:pPr>
            <w:r/>
            <w:r>
              <w:rPr>
                <w:b w:val="0"/>
                <w:i w:val="0"/>
                <w:color w:val="1A1A1A"/>
                <w:sz w:val="18"/>
              </w:rPr>
              <w:t>Vertrag, der die Zusagen einzeln nennt</w:t>
            </w:r>
          </w:p>
        </w:tc>
        <w:tc>
          <w:tcPr>
            <w:tcW w:type="dxa" w:w="3175"/>
          </w:tcPr>
          <w:p>
            <w:pPr>
              <w:spacing w:after="0" w:before="0"/>
            </w:pPr>
            <w:r/>
            <w:r>
              <w:rPr>
                <w:b w:val="0"/>
                <w:i w:val="0"/>
                <w:color w:val="1A1A1A"/>
                <w:sz w:val="18"/>
              </w:rPr>
              <w:t>Methode: kein Angebot als Bestandteil ohne Aufzählung</w:t>
            </w:r>
          </w:p>
        </w:tc>
      </w:tr>
      <w:tr>
        <w:trPr>
          <w:cantSplit w:val="true"/>
        </w:trPr>
        <w:tc>
          <w:tcPr>
            <w:tcW w:type="dxa" w:w="3288"/>
            <w:shd w:val="clear" w:color="auto" w:fill="F3EFE6"/>
          </w:tcPr>
          <w:p>
            <w:pPr>
              <w:spacing w:after="0" w:before="0"/>
            </w:pPr>
            <w:r/>
            <w:r>
              <w:rPr>
                <w:b w:val="0"/>
                <w:i w:val="0"/>
                <w:color w:val="1A1A1A"/>
                <w:sz w:val="18"/>
              </w:rPr>
              <w:t>Wirksame Verwirklichung prüfen (9.2.1 b)</w:t>
            </w:r>
          </w:p>
        </w:tc>
        <w:tc>
          <w:tcPr>
            <w:tcW w:type="dxa" w:w="3175"/>
            <w:shd w:val="clear" w:color="auto" w:fill="F3EFE6"/>
          </w:tcPr>
          <w:p>
            <w:pPr>
              <w:spacing w:after="0" w:before="0"/>
            </w:pPr>
            <w:r/>
            <w:r>
              <w:rPr>
                <w:b w:val="0"/>
                <w:i w:val="0"/>
                <w:color w:val="1A1A1A"/>
                <w:sz w:val="18"/>
              </w:rPr>
              <w:t>Prozessaudit vom Angebot bis zur Bestätigung</w:t>
            </w:r>
          </w:p>
        </w:tc>
        <w:tc>
          <w:tcPr>
            <w:tcW w:type="dxa" w:w="3175"/>
            <w:shd w:val="clear" w:color="auto" w:fill="F3EFE6"/>
          </w:tcPr>
          <w:p>
            <w:pPr>
              <w:spacing w:after="0" w:before="0"/>
            </w:pPr>
            <w:r/>
            <w:r>
              <w:rPr>
                <w:b w:val="0"/>
                <w:i w:val="0"/>
                <w:color w:val="1A1A1A"/>
                <w:sz w:val="18"/>
              </w:rPr>
              <w:t>ISO 19011:2026: Methoden je Audit festlegen; risikobasierter Ansatz</w:t>
            </w:r>
          </w:p>
        </w:tc>
      </w:tr>
      <w:tr>
        <w:trPr>
          <w:cantSplit w:val="true"/>
        </w:trPr>
        <w:tc>
          <w:tcPr>
            <w:tcW w:type="dxa" w:w="3288"/>
          </w:tcPr>
          <w:p>
            <w:pPr>
              <w:spacing w:after="0" w:before="0"/>
            </w:pPr>
            <w:r/>
            <w:r>
              <w:rPr>
                <w:b w:val="0"/>
                <w:i w:val="0"/>
                <w:color w:val="1A1A1A"/>
                <w:sz w:val="18"/>
              </w:rPr>
              <w:t>Keine irreführende Kommunikation (7.4)</w:t>
            </w:r>
          </w:p>
        </w:tc>
        <w:tc>
          <w:tcPr>
            <w:tcW w:type="dxa" w:w="3175"/>
          </w:tcPr>
          <w:p>
            <w:pPr>
              <w:spacing w:after="0" w:before="0"/>
            </w:pPr>
            <w:r/>
            <w:r>
              <w:rPr>
                <w:b w:val="0"/>
                <w:i w:val="0"/>
                <w:color w:val="1A1A1A"/>
                <w:sz w:val="18"/>
              </w:rPr>
              <w:t>Bestätigungen an Kunden nur mit Beleg</w:t>
            </w:r>
          </w:p>
        </w:tc>
        <w:tc>
          <w:tcPr>
            <w:tcW w:type="dxa" w:w="3175"/>
          </w:tcPr>
          <w:p>
            <w:pPr>
              <w:spacing w:after="0" w:before="0"/>
            </w:pPr>
            <w:r/>
            <w:r>
              <w:rPr>
                <w:b w:val="0"/>
                <w:i w:val="0"/>
                <w:color w:val="1A1A1A"/>
                <w:sz w:val="18"/>
              </w:rPr>
              <w:t>Methode: Rückfrage beim Bankett vor jeder Bestätigung</w:t>
            </w:r>
          </w:p>
        </w:tc>
      </w:tr>
    </w:tbl>
    <w:p>
      <w:pPr>
        <w:spacing w:after="40"/>
      </w:pPr>
    </w:p>
    <w:p>
      <w:pPr>
        <w:pStyle w:val="Heading2"/>
      </w:pPr>
      <w:r>
        <w:t>DACH-Anker: Recht an den Stationen einer Veranstaltung</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Zusage im Angebot an einen Firmenkunden</w:t>
            </w:r>
          </w:p>
        </w:tc>
        <w:tc>
          <w:tcPr>
            <w:tcW w:type="dxa" w:w="2721"/>
          </w:tcPr>
          <w:p>
            <w:pPr>
              <w:spacing w:after="0" w:before="0"/>
            </w:pPr>
            <w:r/>
            <w:r>
              <w:rPr>
                <w:b w:val="0"/>
                <w:i w:val="0"/>
                <w:color w:val="1A1A1A"/>
                <w:sz w:val="17"/>
              </w:rPr>
              <w:t>allgemeines Irreführungsverbot des UWG; Sonderregeln zu Umweltaussagen gegenüber Verbrauchern ab 27. September 2026</w:t>
            </w:r>
          </w:p>
        </w:tc>
        <w:tc>
          <w:tcPr>
            <w:tcW w:type="dxa" w:w="2721"/>
          </w:tcPr>
          <w:p>
            <w:pPr>
              <w:spacing w:after="0" w:before="0"/>
            </w:pPr>
            <w:r/>
            <w:r>
              <w:rPr>
                <w:b w:val="0"/>
                <w:i w:val="0"/>
                <w:color w:val="1A1A1A"/>
                <w:sz w:val="17"/>
              </w:rPr>
              <w:t>allgemeines Irreführungsverbot des UWG; Umweltaussagen gegenüber Verbrauchern nach BGBl. I Nr. 58/2026 ab 27. September 2026</w:t>
            </w:r>
          </w:p>
        </w:tc>
        <w:tc>
          <w:tcPr>
            <w:tcW w:type="dxa" w:w="2721"/>
          </w:tcPr>
          <w:p>
            <w:pPr>
              <w:spacing w:after="0" w:before="0"/>
            </w:pPr>
            <w:r/>
            <w:r>
              <w:rPr>
                <w:b w:val="0"/>
                <w:i w:val="0"/>
                <w:color w:val="1A1A1A"/>
                <w:sz w:val="17"/>
              </w:rPr>
              <w:t>UWG Art. 3 Abs. 1 lit. b; Klimaaussagen nach lit. x</w:t>
            </w:r>
          </w:p>
        </w:tc>
      </w:tr>
      <w:tr>
        <w:trPr>
          <w:cantSplit w:val="true"/>
        </w:trPr>
        <w:tc>
          <w:tcPr>
            <w:tcW w:type="dxa" w:w="1474"/>
            <w:shd w:val="clear" w:color="auto" w:fill="F3EFE6"/>
          </w:tcPr>
          <w:p>
            <w:pPr>
              <w:spacing w:after="0" w:before="0"/>
            </w:pPr>
            <w:r/>
            <w:r>
              <w:rPr>
                <w:b w:val="0"/>
                <w:i w:val="0"/>
                <w:color w:val="1A1A1A"/>
                <w:sz w:val="17"/>
              </w:rPr>
              <w:t>Einwegbecher</w:t>
            </w:r>
          </w:p>
        </w:tc>
        <w:tc>
          <w:tcPr>
            <w:tcW w:type="dxa" w:w="2721"/>
            <w:shd w:val="clear" w:color="auto" w:fill="F3EFE6"/>
          </w:tcPr>
          <w:p>
            <w:pPr>
              <w:spacing w:after="0" w:before="0"/>
            </w:pPr>
            <w:r/>
            <w:r>
              <w:rPr>
                <w:b w:val="0"/>
                <w:i w:val="0"/>
                <w:color w:val="1A1A1A"/>
                <w:sz w:val="17"/>
              </w:rPr>
              <w:t>verboten nur aus expandiertem Polystyrol (§ 3 EWKVerbotsV)</w:t>
            </w:r>
          </w:p>
        </w:tc>
        <w:tc>
          <w:tcPr>
            <w:tcW w:type="dxa" w:w="2721"/>
            <w:shd w:val="clear" w:color="auto" w:fill="F3EFE6"/>
          </w:tcPr>
          <w:p>
            <w:pPr>
              <w:spacing w:after="0" w:before="0"/>
            </w:pPr>
            <w:r/>
            <w:r>
              <w:rPr>
                <w:b w:val="0"/>
                <w:i w:val="0"/>
                <w:color w:val="1A1A1A"/>
                <w:sz w:val="17"/>
              </w:rPr>
              <w:t>Verbote nach § 13n AWG 2002, seit Dezember 2021</w:t>
            </w:r>
          </w:p>
        </w:tc>
        <w:tc>
          <w:tcPr>
            <w:tcW w:type="dxa" w:w="2721"/>
            <w:shd w:val="clear" w:color="auto" w:fill="F3EFE6"/>
          </w:tcPr>
          <w:p>
            <w:pPr>
              <w:spacing w:after="0" w:before="0"/>
            </w:pPr>
            <w:r/>
            <w:r>
              <w:rPr>
                <w:b w:val="0"/>
                <w:i w:val="0"/>
                <w:color w:val="1A1A1A"/>
                <w:sz w:val="17"/>
              </w:rPr>
              <w:t>kein Verbot des Bundes</w:t>
            </w:r>
          </w:p>
        </w:tc>
      </w:tr>
      <w:tr>
        <w:trPr>
          <w:cantSplit w:val="true"/>
        </w:trPr>
        <w:tc>
          <w:tcPr>
            <w:tcW w:type="dxa" w:w="1474"/>
          </w:tcPr>
          <w:p>
            <w:pPr>
              <w:spacing w:after="0" w:before="0"/>
            </w:pPr>
            <w:r/>
            <w:r>
              <w:rPr>
                <w:b w:val="0"/>
                <w:i w:val="0"/>
                <w:color w:val="1A1A1A"/>
                <w:sz w:val="17"/>
              </w:rPr>
              <w:t>Aufzeichnungen über Abfälle</w:t>
            </w:r>
          </w:p>
        </w:tc>
        <w:tc>
          <w:tcPr>
            <w:tcW w:type="dxa" w:w="2721"/>
          </w:tcPr>
          <w:p>
            <w:pPr>
              <w:spacing w:after="0" w:before="0"/>
            </w:pPr>
            <w:r/>
            <w:r>
              <w:rPr>
                <w:b w:val="0"/>
                <w:i w:val="0"/>
                <w:color w:val="1A1A1A"/>
                <w:sz w:val="17"/>
              </w:rPr>
              <w:t>Getrennthaltung dokumentieren (§ 3 GewAbfV)</w:t>
            </w:r>
          </w:p>
        </w:tc>
        <w:tc>
          <w:tcPr>
            <w:tcW w:type="dxa" w:w="2721"/>
          </w:tcPr>
          <w:p>
            <w:pPr>
              <w:spacing w:after="0" w:before="0"/>
            </w:pPr>
            <w:r/>
            <w:r>
              <w:rPr>
                <w:b w:val="0"/>
                <w:i w:val="0"/>
                <w:color w:val="1A1A1A"/>
                <w:sz w:val="17"/>
              </w:rPr>
              <w:t>Art, Menge, Herkunft und Verbleib; sieben Jahre aufbewahren (§ 17 AWG 2002)</w:t>
            </w:r>
          </w:p>
        </w:tc>
        <w:tc>
          <w:tcPr>
            <w:tcW w:type="dxa" w:w="2721"/>
          </w:tcPr>
          <w:p>
            <w:pPr>
              <w:spacing w:after="0" w:before="0"/>
            </w:pPr>
            <w:r/>
            <w:r>
              <w:rPr>
                <w:b w:val="0"/>
                <w:i w:val="0"/>
                <w:color w:val="1A1A1A"/>
                <w:sz w:val="17"/>
              </w:rPr>
              <w:t>Vorgaben von Kanton und Gemeinde</w:t>
            </w:r>
          </w:p>
        </w:tc>
      </w:tr>
      <w:tr>
        <w:trPr>
          <w:cantSplit w:val="true"/>
        </w:trPr>
        <w:tc>
          <w:tcPr>
            <w:tcW w:type="dxa" w:w="1474"/>
            <w:shd w:val="clear" w:color="auto" w:fill="F3EFE6"/>
          </w:tcPr>
          <w:p>
            <w:pPr>
              <w:spacing w:after="0" w:before="0"/>
            </w:pPr>
            <w:r/>
            <w:r>
              <w:rPr>
                <w:b w:val="0"/>
                <w:i w:val="0"/>
                <w:color w:val="1A1A1A"/>
                <w:sz w:val="17"/>
              </w:rPr>
              <w:t>Rechnung und Lieferschein</w:t>
            </w:r>
          </w:p>
        </w:tc>
        <w:tc>
          <w:tcPr>
            <w:tcW w:type="dxa" w:w="2721"/>
            <w:shd w:val="clear" w:color="auto" w:fill="F3EFE6"/>
          </w:tcPr>
          <w:p>
            <w:pPr>
              <w:spacing w:after="0" w:before="0"/>
            </w:pPr>
            <w:r/>
            <w:r>
              <w:rPr>
                <w:b w:val="0"/>
                <w:i w:val="0"/>
                <w:color w:val="1A1A1A"/>
                <w:sz w:val="17"/>
              </w:rPr>
              <w:t>Buchungsbelege acht Jahre (HGB § 257, AO § 147)</w:t>
            </w:r>
          </w:p>
        </w:tc>
        <w:tc>
          <w:tcPr>
            <w:tcW w:type="dxa" w:w="2721"/>
            <w:shd w:val="clear" w:color="auto" w:fill="F3EFE6"/>
          </w:tcPr>
          <w:p>
            <w:pPr>
              <w:spacing w:after="0" w:before="0"/>
            </w:pPr>
            <w:r/>
            <w:r>
              <w:rPr>
                <w:b w:val="0"/>
                <w:i w:val="0"/>
                <w:color w:val="1A1A1A"/>
                <w:sz w:val="17"/>
              </w:rPr>
              <w:t>sieben Jahre (BAO, UGB § 212)</w:t>
            </w:r>
          </w:p>
        </w:tc>
        <w:tc>
          <w:tcPr>
            <w:tcW w:type="dxa" w:w="2721"/>
            <w:shd w:val="clear" w:color="auto" w:fill="F3EFE6"/>
          </w:tcPr>
          <w:p>
            <w:pPr>
              <w:spacing w:after="0" w:before="0"/>
            </w:pPr>
            <w:r/>
            <w:r>
              <w:rPr>
                <w:b w:val="0"/>
                <w:i w:val="0"/>
                <w:color w:val="1A1A1A"/>
                <w:sz w:val="17"/>
              </w:rPr>
              <w:t>zehn Jahre (Art. 958f OR)</w:t>
            </w:r>
          </w:p>
        </w:tc>
      </w:tr>
      <w:tr>
        <w:trPr>
          <w:cantSplit w:val="true"/>
        </w:trPr>
        <w:tc>
          <w:tcPr>
            <w:tcW w:type="dxa" w:w="1474"/>
          </w:tcPr>
          <w:p>
            <w:pPr>
              <w:spacing w:after="0" w:before="0"/>
            </w:pPr>
            <w:r/>
            <w:r>
              <w:rPr>
                <w:b w:val="0"/>
                <w:i w:val="0"/>
                <w:color w:val="1A1A1A"/>
                <w:sz w:val="17"/>
              </w:rPr>
              <w:t>Teilnehmerliste mit Allergien</w:t>
            </w:r>
          </w:p>
        </w:tc>
        <w:tc>
          <w:tcPr>
            <w:tcW w:type="dxa" w:w="2721"/>
          </w:tcPr>
          <w:p>
            <w:pPr>
              <w:spacing w:after="0" w:before="0"/>
            </w:pPr>
            <w:r/>
            <w:r>
              <w:rPr>
                <w:b w:val="0"/>
                <w:i w:val="0"/>
                <w:color w:val="1A1A1A"/>
                <w:sz w:val="17"/>
              </w:rPr>
              <w:t>besondere Kategorie von Daten (Art. 9 DSGVO)</w:t>
            </w:r>
          </w:p>
        </w:tc>
        <w:tc>
          <w:tcPr>
            <w:tcW w:type="dxa" w:w="2721"/>
          </w:tcPr>
          <w:p>
            <w:pPr>
              <w:spacing w:after="0" w:before="0"/>
            </w:pPr>
            <w:r/>
            <w:r>
              <w:rPr>
                <w:b w:val="0"/>
                <w:i w:val="0"/>
                <w:color w:val="1A1A1A"/>
                <w:sz w:val="17"/>
              </w:rPr>
              <w:t>besondere Kategorie von Daten (Art. 9 DSGVO)</w:t>
            </w:r>
          </w:p>
        </w:tc>
        <w:tc>
          <w:tcPr>
            <w:tcW w:type="dxa" w:w="2721"/>
          </w:tcPr>
          <w:p>
            <w:pPr>
              <w:spacing w:after="0" w:before="0"/>
            </w:pPr>
            <w:r/>
            <w:r>
              <w:rPr>
                <w:b w:val="0"/>
                <w:i w:val="0"/>
                <w:color w:val="1A1A1A"/>
                <w:sz w:val="17"/>
              </w:rPr>
              <w:t>besonders schützenswerte Personendaten (Art. 5 lit. c DSG)</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3.5.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3.5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3.5 — Ein Prozessaudit entlang einer Veranstaltung</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