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8C5A2B"/>
          <w:sz w:val="18"/>
        </w:rPr>
        <w:t>ARBEITSMATERIAL 3.6</w:t>
      </w:r>
    </w:p>
    <w:p>
      <w:pPr>
        <w:pStyle w:val="Heading1"/>
      </w:pPr>
      <w:r>
        <w:t>Das Audit vor einer Veranstaltung</w:t>
      </w:r>
    </w:p>
    <w:p>
      <w:pPr>
        <w:spacing w:after="0"/>
      </w:pPr>
      <w:r>
        <w:rPr>
          <w:b w:val="0"/>
          <w:i/>
          <w:color w:val="5A5A5A"/>
        </w:rPr>
        <w:t>Abschnitt 3.6 · Das Audit vor der Veranstaltung: Planung, Verträge und Bankettformular</w:t>
      </w:r>
    </w:p>
    <w:p>
      <w:pPr>
        <w:spacing w:after="160"/>
      </w:pPr>
      <w:r>
        <w:rPr>
          <w:b w:val="0"/>
          <w:i w:val="0"/>
          <w:color w:val="5A5A5A"/>
          <w:sz w:val="18"/>
        </w:rPr>
        <w:t>Modellfall im Buch: Heidelberg</w:t>
      </w:r>
    </w:p>
    <w:tbl>
      <w:tblPr>
        <w:tblW w:type="auto" w:w="0"/>
        <w:tblLook w:firstColumn="1" w:firstRow="1" w:lastColumn="0" w:lastRow="0" w:noHBand="0" w:noVBand="1" w:val="04A0"/>
        <w:tblCellMar>
          <w:top w:w="120" w:type="dxa"/>
          <w:left w:w="160" w:type="dxa"/>
          <w:bottom w:w="120" w:type="dxa"/>
          <w:right w:w="160" w:type="dxa"/>
        </w:tblCellMar>
      </w:tblPr>
      <w:tblGrid>
        <w:gridCol w:w="9638"/>
      </w:tblGrid>
      <w:tr>
        <w:tc>
          <w:tcPr>
            <w:tcW w:type="dxa" w:w="9638"/>
            <w:shd w:val="clear" w:color="auto" w:fill="EFE7DC"/>
          </w:tcPr>
          <w:p>
            <w:r/>
            <w:r>
              <w:rPr>
                <w:b/>
                <w:color w:val="8C5A2B"/>
                <w:sz w:val="18"/>
              </w:rPr>
              <w:t>LEITFRAGE</w:t>
              <w:br/>
            </w:r>
            <w:r>
              <w:rPr>
                <w:sz w:val="21"/>
              </w:rPr>
              <w:t>Drei Wochen vor Ihrer nächsten großen Tagung: Könnten Sie zu jeder Zusage im Vertrag zeigen, welcher Lieferant beauftragt ist, in welchem Raum sie eingelöst wird und wer es prüft? Und bis zu welchem Tag ließe sich jede davon noch ändern?</w:t>
            </w:r>
          </w:p>
        </w:tc>
      </w:tr>
    </w:tbl>
    <w:p>
      <w:pPr>
        <w:spacing w:after="0"/>
      </w:pPr>
    </w:p>
    <w:p>
      <w:r>
        <w:rPr>
          <w:sz w:val="18"/>
        </w:rPr>
        <w:t>Dieses Blatt gibt das Arbeitsmaterial des Abschnitts in bearbeitbarer Form wieder. Die Texte stammen aus dem Buch; die leeren Spalten sind für die Angaben des eigenen Hauses bestimmt.</w:t>
      </w:r>
    </w:p>
    <w:p>
      <w:pPr>
        <w:pStyle w:val="Heading2"/>
      </w:pPr>
      <w:r>
        <w:t>Das Werkzeug: Der Zusagenspiegel: Prüfpunkte vor dem Fest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13"/>
        <w:gridCol w:w="3213"/>
        <w:gridCol w:w="3213"/>
      </w:tblGrid>
      <w:tr>
        <w:trPr>
          <w:cantSplit w:val="true"/>
          <w:tblHeader w:val="true"/>
        </w:trPr>
        <w:tc>
          <w:tcPr>
            <w:tcW w:type="dxa" w:w="3213"/>
            <w:shd w:val="clear" w:color="auto" w:fill="8C5A2B"/>
          </w:tcPr>
          <w:p>
            <w:pPr>
              <w:spacing w:after="0" w:before="0"/>
            </w:pPr>
            <w:r/>
            <w:r>
              <w:rPr>
                <w:b/>
                <w:i w:val="0"/>
                <w:color w:val="FFFFFF"/>
                <w:sz w:val="18"/>
              </w:rPr>
              <w:t>Prüfpunkt</w:t>
            </w:r>
          </w:p>
        </w:tc>
        <w:tc>
          <w:tcPr>
            <w:tcW w:type="dxa" w:w="3213"/>
            <w:shd w:val="clear" w:color="auto" w:fill="8C5A2B"/>
          </w:tcPr>
          <w:p>
            <w:pPr>
              <w:spacing w:after="0" w:before="0"/>
            </w:pPr>
            <w:r/>
            <w:r>
              <w:rPr>
                <w:b/>
                <w:i w:val="0"/>
                <w:color w:val="FFFFFF"/>
                <w:sz w:val="18"/>
              </w:rPr>
              <w:t>Frage des Auditors</w:t>
            </w:r>
          </w:p>
        </w:tc>
        <w:tc>
          <w:tcPr>
            <w:tcW w:type="dxa" w:w="3213"/>
            <w:shd w:val="clear" w:color="auto" w:fill="8C5A2B"/>
          </w:tcPr>
          <w:p>
            <w:pPr>
              <w:spacing w:after="0" w:before="0"/>
            </w:pPr>
            <w:r/>
            <w:r>
              <w:rPr>
                <w:b/>
                <w:i w:val="0"/>
                <w:color w:val="FFFFFF"/>
                <w:sz w:val="18"/>
              </w:rPr>
              <w:t>Letzter Tag für eine Korrektur im Fall</w:t>
            </w:r>
          </w:p>
        </w:tc>
      </w:tr>
      <w:tr>
        <w:trPr>
          <w:cantSplit w:val="true"/>
        </w:trPr>
        <w:tc>
          <w:tcPr>
            <w:tcW w:type="dxa" w:w="3213"/>
          </w:tcPr>
          <w:p>
            <w:pPr>
              <w:spacing w:after="0" w:before="0"/>
            </w:pPr>
            <w:r/>
            <w:r>
              <w:rPr>
                <w:b w:val="0"/>
                <w:i w:val="0"/>
                <w:color w:val="1A1A1A"/>
                <w:sz w:val="18"/>
              </w:rPr>
              <w:t>Lieferantenauftrag</w:t>
            </w:r>
          </w:p>
        </w:tc>
        <w:tc>
          <w:tcPr>
            <w:tcW w:type="dxa" w:w="3213"/>
          </w:tcPr>
          <w:p>
            <w:pPr>
              <w:spacing w:after="0" w:before="0"/>
            </w:pPr>
            <w:r/>
            <w:r>
              <w:rPr>
                <w:b w:val="0"/>
                <w:i w:val="0"/>
                <w:color w:val="1A1A1A"/>
                <w:sz w:val="18"/>
              </w:rPr>
              <w:t>Ist für jede Zusage beauftragt, was sie braucht?</w:t>
            </w:r>
          </w:p>
        </w:tc>
        <w:tc>
          <w:tcPr>
            <w:tcW w:type="dxa" w:w="3213"/>
          </w:tcPr>
          <w:p>
            <w:pPr>
              <w:spacing w:after="0" w:before="0"/>
            </w:pPr>
            <w:r/>
            <w:r>
              <w:rPr>
                <w:b w:val="0"/>
                <w:i w:val="0"/>
                <w:color w:val="1A1A1A"/>
                <w:sz w:val="18"/>
              </w:rPr>
              <w:t>zehn Tage vorher, Gemüsebauer</w:t>
            </w:r>
          </w:p>
        </w:tc>
      </w:tr>
      <w:tr>
        <w:trPr>
          <w:cantSplit w:val="true"/>
        </w:trPr>
        <w:tc>
          <w:tcPr>
            <w:tcW w:type="dxa" w:w="3213"/>
            <w:shd w:val="clear" w:color="auto" w:fill="F3EFE6"/>
          </w:tcPr>
          <w:p>
            <w:pPr>
              <w:spacing w:after="0" w:before="0"/>
            </w:pPr>
            <w:r/>
            <w:r>
              <w:rPr>
                <w:b w:val="0"/>
                <w:i w:val="0"/>
                <w:color w:val="1A1A1A"/>
                <w:sz w:val="18"/>
              </w:rPr>
              <w:t>Bankettformular</w:t>
            </w:r>
          </w:p>
        </w:tc>
        <w:tc>
          <w:tcPr>
            <w:tcW w:type="dxa" w:w="3213"/>
            <w:shd w:val="clear" w:color="auto" w:fill="F3EFE6"/>
          </w:tcPr>
          <w:p>
            <w:pPr>
              <w:spacing w:after="0" w:before="0"/>
            </w:pPr>
            <w:r/>
            <w:r>
              <w:rPr>
                <w:b w:val="0"/>
                <w:i w:val="0"/>
                <w:color w:val="1A1A1A"/>
                <w:sz w:val="18"/>
              </w:rPr>
              <w:t>Steht jede Zusage im Arbeitspapier, mit Prüfer?</w:t>
            </w:r>
          </w:p>
        </w:tc>
        <w:tc>
          <w:tcPr>
            <w:tcW w:type="dxa" w:w="3213"/>
            <w:shd w:val="clear" w:color="auto" w:fill="F3EFE6"/>
          </w:tcPr>
          <w:p>
            <w:pPr>
              <w:spacing w:after="0" w:before="0"/>
            </w:pPr>
            <w:r/>
            <w:r>
              <w:rPr>
                <w:b w:val="0"/>
                <w:i w:val="0"/>
                <w:color w:val="1A1A1A"/>
                <w:sz w:val="18"/>
              </w:rPr>
              <w:t>drei Tage vorher, Produktionsplan der Küche</w:t>
            </w:r>
          </w:p>
        </w:tc>
      </w:tr>
      <w:tr>
        <w:trPr>
          <w:cantSplit w:val="true"/>
        </w:trPr>
        <w:tc>
          <w:tcPr>
            <w:tcW w:type="dxa" w:w="3213"/>
          </w:tcPr>
          <w:p>
            <w:pPr>
              <w:spacing w:after="0" w:before="0"/>
            </w:pPr>
            <w:r/>
            <w:r>
              <w:rPr>
                <w:b w:val="0"/>
                <w:i w:val="0"/>
                <w:color w:val="1A1A1A"/>
                <w:sz w:val="18"/>
              </w:rPr>
              <w:t>Raumplan</w:t>
            </w:r>
          </w:p>
        </w:tc>
        <w:tc>
          <w:tcPr>
            <w:tcW w:type="dxa" w:w="3213"/>
          </w:tcPr>
          <w:p>
            <w:pPr>
              <w:spacing w:after="0" w:before="0"/>
            </w:pPr>
            <w:r/>
            <w:r>
              <w:rPr>
                <w:b w:val="0"/>
                <w:i w:val="0"/>
                <w:color w:val="1A1A1A"/>
                <w:sz w:val="18"/>
              </w:rPr>
              <w:t>Passt jeder Raum zu den Zusagen und zu den angemeldeten Bedarfen?</w:t>
            </w:r>
          </w:p>
        </w:tc>
        <w:tc>
          <w:tcPr>
            <w:tcW w:type="dxa" w:w="3213"/>
          </w:tcPr>
          <w:p>
            <w:pPr>
              <w:spacing w:after="0" w:before="0"/>
            </w:pPr>
            <w:r/>
            <w:r>
              <w:rPr>
                <w:b w:val="0"/>
                <w:i w:val="0"/>
                <w:color w:val="1A1A1A"/>
                <w:sz w:val="18"/>
              </w:rPr>
              <w:t>zwei Wochen vorher, Druck des Programmhefts</w:t>
            </w:r>
          </w:p>
        </w:tc>
      </w:tr>
      <w:tr>
        <w:trPr>
          <w:cantSplit w:val="true"/>
        </w:trPr>
        <w:tc>
          <w:tcPr>
            <w:tcW w:type="dxa" w:w="3213"/>
            <w:shd w:val="clear" w:color="auto" w:fill="F3EFE6"/>
          </w:tcPr>
          <w:p>
            <w:pPr>
              <w:spacing w:after="0" w:before="0"/>
            </w:pPr>
            <w:r/>
            <w:r>
              <w:rPr>
                <w:b w:val="0"/>
                <w:i w:val="0"/>
                <w:color w:val="1A1A1A"/>
                <w:sz w:val="18"/>
              </w:rPr>
              <w:t>Information an die Gäste</w:t>
            </w:r>
          </w:p>
        </w:tc>
        <w:tc>
          <w:tcPr>
            <w:tcW w:type="dxa" w:w="3213"/>
            <w:shd w:val="clear" w:color="auto" w:fill="F3EFE6"/>
          </w:tcPr>
          <w:p>
            <w:pPr>
              <w:spacing w:after="0" w:before="0"/>
            </w:pPr>
            <w:r/>
            <w:r>
              <w:rPr>
                <w:b w:val="0"/>
                <w:i w:val="0"/>
                <w:color w:val="1A1A1A"/>
                <w:sz w:val="18"/>
              </w:rPr>
              <w:t>Haben sie rechtzeitig, was ihnen zugesagt ist?</w:t>
            </w:r>
          </w:p>
        </w:tc>
        <w:tc>
          <w:tcPr>
            <w:tcW w:type="dxa" w:w="3213"/>
            <w:shd w:val="clear" w:color="auto" w:fill="F3EFE6"/>
          </w:tcPr>
          <w:p>
            <w:pPr>
              <w:spacing w:after="0" w:before="0"/>
            </w:pPr>
            <w:r/>
            <w:r>
              <w:rPr>
                <w:b w:val="0"/>
                <w:i w:val="0"/>
                <w:color w:val="1A1A1A"/>
                <w:sz w:val="18"/>
              </w:rPr>
              <w:t>sechs Wochen vorher, bereits verstrichen</w:t>
            </w:r>
          </w:p>
        </w:tc>
      </w:tr>
      <w:tr>
        <w:trPr>
          <w:cantSplit w:val="true"/>
        </w:trPr>
        <w:tc>
          <w:tcPr>
            <w:tcW w:type="dxa" w:w="3213"/>
          </w:tcPr>
          <w:p>
            <w:pPr>
              <w:spacing w:after="0" w:before="0"/>
            </w:pPr>
            <w:r/>
            <w:r>
              <w:rPr>
                <w:b w:val="0"/>
                <w:i w:val="0"/>
                <w:color w:val="1A1A1A"/>
                <w:sz w:val="18"/>
              </w:rPr>
              <w:t>Risikoliste</w:t>
            </w:r>
          </w:p>
        </w:tc>
        <w:tc>
          <w:tcPr>
            <w:tcW w:type="dxa" w:w="3213"/>
          </w:tcPr>
          <w:p>
            <w:pPr>
              <w:spacing w:after="0" w:before="0"/>
            </w:pPr>
            <w:r/>
            <w:r>
              <w:rPr>
                <w:b w:val="0"/>
                <w:i w:val="0"/>
                <w:color w:val="1A1A1A"/>
                <w:sz w:val="18"/>
              </w:rPr>
              <w:t>Was geschieht, wenn eine Zusage nicht hält?</w:t>
            </w:r>
          </w:p>
        </w:tc>
        <w:tc>
          <w:tcPr>
            <w:tcW w:type="dxa" w:w="3213"/>
          </w:tcPr>
          <w:p>
            <w:pPr>
              <w:spacing w:after="0" w:before="0"/>
            </w:pPr>
            <w:r/>
            <w:r>
              <w:rPr>
                <w:b w:val="0"/>
                <w:i w:val="0"/>
                <w:color w:val="1A1A1A"/>
                <w:sz w:val="18"/>
              </w:rPr>
              <w:t>vor der Bestellung beim neuen Lieferanten</w:t>
            </w:r>
          </w:p>
        </w:tc>
      </w:tr>
      <w:tr>
        <w:trPr>
          <w:cantSplit w:val="true"/>
        </w:trPr>
        <w:tc>
          <w:tcPr>
            <w:tcW w:type="dxa" w:w="3213"/>
            <w:shd w:val="clear" w:color="auto" w:fill="F3EFE6"/>
          </w:tcPr>
          <w:p>
            <w:pPr>
              <w:spacing w:after="0" w:before="0"/>
            </w:pPr>
            <w:r/>
            <w:r>
              <w:rPr>
                <w:b w:val="0"/>
                <w:i w:val="0"/>
                <w:color w:val="1A1A1A"/>
                <w:sz w:val="18"/>
              </w:rPr>
              <w:t>Nachweise für hinterher</w:t>
            </w:r>
          </w:p>
        </w:tc>
        <w:tc>
          <w:tcPr>
            <w:tcW w:type="dxa" w:w="3213"/>
            <w:shd w:val="clear" w:color="auto" w:fill="F3EFE6"/>
          </w:tcPr>
          <w:p>
            <w:pPr>
              <w:spacing w:after="0" w:before="0"/>
            </w:pPr>
            <w:r/>
            <w:r>
              <w:rPr>
                <w:b w:val="0"/>
                <w:i w:val="0"/>
                <w:color w:val="1A1A1A"/>
                <w:sz w:val="18"/>
              </w:rPr>
              <w:t>Wer misst was, und wer schickt es dem Kunden?</w:t>
            </w:r>
          </w:p>
        </w:tc>
        <w:tc>
          <w:tcPr>
            <w:tcW w:type="dxa" w:w="3213"/>
            <w:shd w:val="clear" w:color="auto" w:fill="F3EFE6"/>
          </w:tcPr>
          <w:p>
            <w:pPr>
              <w:spacing w:after="0" w:before="0"/>
            </w:pPr>
            <w:r/>
            <w:r>
              <w:rPr>
                <w:b w:val="0"/>
                <w:i w:val="0"/>
                <w:color w:val="1A1A1A"/>
                <w:sz w:val="18"/>
              </w:rPr>
              <w:t>vor dem ersten Tag</w:t>
            </w:r>
          </w:p>
        </w:tc>
      </w:tr>
    </w:tbl>
    <w:p>
      <w:pPr>
        <w:spacing w:after="40"/>
      </w:pPr>
    </w:p>
    <w:p>
      <w:pPr>
        <w:pStyle w:val="Heading2"/>
      </w:pPr>
      <w:r>
        <w:t>Praktische Anwendung: das Audit vor einer Veranstaltung in sieben Schritten</w:t>
      </w:r>
    </w:p>
    <w:p>
      <w:pPr>
        <w:tabs>
          <w:tab w:pos="340" w:val="left"/>
        </w:tabs>
        <w:ind w:left="340" w:hanging="340"/>
      </w:pPr>
      <w:r>
        <w:rPr>
          <w:b/>
          <w:color w:val="8C5A2B"/>
        </w:rPr>
        <w:t>1.</w:t>
        <w:tab/>
      </w:r>
      <w:r>
        <w:rPr>
          <w:b/>
        </w:rPr>
        <w:t>Den Termin nach der langsamsten Korrektur legen.</w:t>
      </w:r>
      <w:r>
        <w:t xml:space="preserve"> Fragen Sie, welche Zusage den längsten Vorlauf braucht, und legen Sie das Audit davor. Für ein Haus dieser Größe sind drei Wochen ein vernünftiges Maß.</w:t>
      </w:r>
    </w:p>
    <w:p>
      <w:pPr>
        <w:tabs>
          <w:tab w:pos="340" w:val="left"/>
        </w:tabs>
        <w:ind w:left="340" w:hanging="340"/>
      </w:pPr>
      <w:r>
        <w:rPr>
          <w:b/>
          <w:color w:val="8C5A2B"/>
        </w:rPr>
        <w:t>2.</w:t>
        <w:tab/>
      </w:r>
      <w:r>
        <w:rPr>
          <w:b/>
        </w:rPr>
        <w:t>Alle Zusagen sammeln.</w:t>
      </w:r>
      <w:r>
        <w:t xml:space="preserve"> Lesen Sie Angebot, Vertrag, Ausschreibung des Auftraggebers und Schriftverkehr. Jede Zusage wird eine Zeile, auch die mit einem Termin, der schon verstrichen ist.</w:t>
      </w:r>
    </w:p>
    <w:p>
      <w:pPr>
        <w:tabs>
          <w:tab w:pos="340" w:val="left"/>
        </w:tabs>
        <w:ind w:left="340" w:hanging="340"/>
      </w:pPr>
      <w:r>
        <w:rPr>
          <w:b/>
          <w:color w:val="8C5A2B"/>
        </w:rPr>
        <w:t>3.</w:t>
        <w:tab/>
      </w:r>
      <w:r>
        <w:rPr>
          <w:b/>
        </w:rPr>
        <w:t>Jede Zusage im Arbeitspapier suchen.</w:t>
      </w:r>
      <w:r>
        <w:t xml:space="preserve"> Steht sie im Bankettformular, im Produktionsplan, im Raumplan? Steht neben ihr, wer sie einlöst und wer es prüft?</w:t>
      </w:r>
    </w:p>
    <w:p>
      <w:pPr>
        <w:tabs>
          <w:tab w:pos="340" w:val="left"/>
        </w:tabs>
        <w:ind w:left="340" w:hanging="340"/>
      </w:pPr>
      <w:r>
        <w:rPr>
          <w:b/>
          <w:color w:val="8C5A2B"/>
        </w:rPr>
        <w:t>4.</w:t>
        <w:tab/>
      </w:r>
      <w:r>
        <w:rPr>
          <w:b/>
        </w:rPr>
        <w:t>Aufträge lesen, nicht Gespräche.</w:t>
      </w:r>
      <w:r>
        <w:t xml:space="preserve"> Ein Lieferant ist beauftragt, wenn eine Bestellung vorliegt. Lassen Sie sich die Bestellung zeigen.</w:t>
      </w:r>
    </w:p>
    <w:p>
      <w:pPr>
        <w:tabs>
          <w:tab w:pos="340" w:val="left"/>
        </w:tabs>
        <w:ind w:left="340" w:hanging="340"/>
      </w:pPr>
      <w:r>
        <w:rPr>
          <w:b/>
          <w:color w:val="8C5A2B"/>
        </w:rPr>
        <w:t>5.</w:t>
        <w:tab/>
      </w:r>
      <w:r>
        <w:rPr>
          <w:b/>
        </w:rPr>
        <w:t>Den Raumplan gegen Zusagen und Bedarfe legen.</w:t>
      </w:r>
      <w:r>
        <w:t xml:space="preserve"> Gehen Sie die Wege selbst ab. Vom Unterstützungsbedarf der Gäste brauchen Sie die Zahl, keine Namen.</w:t>
      </w:r>
    </w:p>
    <w:p>
      <w:pPr>
        <w:tabs>
          <w:tab w:pos="340" w:val="left"/>
        </w:tabs>
        <w:ind w:left="340" w:hanging="340"/>
      </w:pPr>
      <w:r>
        <w:rPr>
          <w:b/>
          <w:color w:val="8C5A2B"/>
        </w:rPr>
        <w:t>6.</w:t>
        <w:tab/>
      </w:r>
      <w:r>
        <w:rPr>
          <w:b/>
        </w:rPr>
        <w:t>Nach dem Fall fragen, dass eine Zusage nicht hält.</w:t>
      </w:r>
      <w:r>
        <w:t xml:space="preserve"> Steht in der Risikoliste, was dann geschieht, und wer dem Auftraggeber Bescheid gibt?</w:t>
      </w:r>
    </w:p>
    <w:p>
      <w:pPr>
        <w:tabs>
          <w:tab w:pos="340" w:val="left"/>
        </w:tabs>
        <w:ind w:left="340" w:hanging="340"/>
      </w:pPr>
      <w:r>
        <w:rPr>
          <w:b/>
          <w:color w:val="8C5A2B"/>
        </w:rPr>
        <w:t>7.</w:t>
        <w:tab/>
      </w:r>
      <w:r>
        <w:rPr>
          <w:b/>
        </w:rPr>
        <w:t>Berichten, nicht freigeben.</w:t>
      </w:r>
      <w:r>
        <w:t xml:space="preserve"> Melden Sie Ihre Befunde der Leitung und am selben Tag der Person, die handeln muss. Planen Sie zugleich, wann Sie während des Festes prüfen (3.7).</w:t>
      </w:r>
    </w:p>
    <w:p>
      <w:pPr>
        <w:keepNext/>
        <w:spacing w:after="40"/>
      </w:pPr>
      <w:r>
        <w:rPr>
          <w:b/>
          <w:i w:val="0"/>
          <w:color w:val="8C5A2B"/>
          <w:sz w:val="18"/>
        </w:rPr>
        <w:t>Umsetzung im eigenen Haus</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4649"/>
        <w:gridCol w:w="2041"/>
        <w:gridCol w:w="1474"/>
        <w:gridCol w:w="1474"/>
      </w:tblGrid>
      <w:tr>
        <w:trPr>
          <w:cantSplit w:val="true"/>
          <w:tblHeader w:val="true"/>
        </w:trPr>
        <w:tc>
          <w:tcPr>
            <w:tcW w:type="dxa" w:w="4649"/>
            <w:shd w:val="clear" w:color="auto" w:fill="8C5A2B"/>
          </w:tcPr>
          <w:p>
            <w:pPr>
              <w:spacing w:after="0" w:before="0"/>
            </w:pPr>
            <w:r/>
            <w:r>
              <w:rPr>
                <w:b/>
                <w:i w:val="0"/>
                <w:color w:val="FFFFFF"/>
                <w:sz w:val="17"/>
              </w:rPr>
              <w:t>Schritt</w:t>
            </w:r>
          </w:p>
        </w:tc>
        <w:tc>
          <w:tcPr>
            <w:tcW w:type="dxa" w:w="2041"/>
            <w:shd w:val="clear" w:color="auto" w:fill="8C5A2B"/>
          </w:tcPr>
          <w:p>
            <w:pPr>
              <w:spacing w:after="0" w:before="0"/>
            </w:pPr>
            <w:r/>
            <w:r>
              <w:rPr>
                <w:b/>
                <w:i w:val="0"/>
                <w:color w:val="FFFFFF"/>
                <w:sz w:val="17"/>
              </w:rPr>
              <w:t>Verantwortlich</w:t>
            </w:r>
          </w:p>
        </w:tc>
        <w:tc>
          <w:tcPr>
            <w:tcW w:type="dxa" w:w="1474"/>
            <w:shd w:val="clear" w:color="auto" w:fill="8C5A2B"/>
          </w:tcPr>
          <w:p>
            <w:pPr>
              <w:spacing w:after="0" w:before="0"/>
            </w:pPr>
            <w:r/>
            <w:r>
              <w:rPr>
                <w:b/>
                <w:i w:val="0"/>
                <w:color w:val="FFFFFF"/>
                <w:sz w:val="17"/>
              </w:rPr>
              <w:t>Termin</w:t>
            </w:r>
          </w:p>
        </w:tc>
        <w:tc>
          <w:tcPr>
            <w:tcW w:type="dxa" w:w="1474"/>
            <w:shd w:val="clear" w:color="auto" w:fill="8C5A2B"/>
          </w:tcPr>
          <w:p>
            <w:pPr>
              <w:spacing w:after="0" w:before="0"/>
            </w:pPr>
            <w:r/>
            <w:r>
              <w:rPr>
                <w:b/>
                <w:i w:val="0"/>
                <w:color w:val="FFFFFF"/>
                <w:sz w:val="17"/>
              </w:rPr>
              <w:t>Erledigt</w:t>
            </w:r>
          </w:p>
        </w:tc>
      </w:tr>
      <w:tr>
        <w:trPr>
          <w:cantSplit w:val="true"/>
        </w:trPr>
        <w:tc>
          <w:tcPr>
            <w:tcW w:type="dxa" w:w="4649"/>
          </w:tcPr>
          <w:p>
            <w:pPr>
              <w:spacing w:after="0" w:before="0"/>
            </w:pPr>
            <w:r/>
            <w:r>
              <w:rPr>
                <w:b w:val="0"/>
                <w:i w:val="0"/>
                <w:color w:val="1A1A1A"/>
                <w:sz w:val="17"/>
              </w:rPr>
              <w:t>1. Den Termin nach der langsamsten Korrektur legen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2. Alle Zusagen sammeln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3. Jede Zusage im Arbeitspapier suchen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4. Aufträge lesen, nicht Gespräche</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5. Den Raumplan gegen Zusagen und Bedarfe legen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6. Nach dem Fall fragen, dass eine Zusage nicht hält</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7. Berichten, nicht freigeben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bl>
    <w:p>
      <w:pPr>
        <w:spacing w:after="40"/>
      </w:pPr>
    </w:p>
    <w:p>
      <w:pPr>
        <w:pStyle w:val="Heading2"/>
      </w:pPr>
      <w:r>
        <w:t>Prüf-Checkliste</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5216"/>
        <w:gridCol w:w="680"/>
        <w:gridCol w:w="680"/>
        <w:gridCol w:w="3061"/>
      </w:tblGrid>
      <w:tr>
        <w:trPr>
          <w:cantSplit w:val="true"/>
          <w:tblHeader w:val="true"/>
        </w:trPr>
        <w:tc>
          <w:tcPr>
            <w:tcW w:type="dxa" w:w="5216"/>
            <w:shd w:val="clear" w:color="auto" w:fill="8C5A2B"/>
          </w:tcPr>
          <w:p>
            <w:pPr>
              <w:spacing w:after="0" w:before="0"/>
            </w:pPr>
            <w:r/>
            <w:r>
              <w:rPr>
                <w:b/>
                <w:i w:val="0"/>
                <w:color w:val="FFFFFF"/>
                <w:sz w:val="18"/>
              </w:rPr>
              <w:t>Frage</w:t>
            </w:r>
          </w:p>
        </w:tc>
        <w:tc>
          <w:tcPr>
            <w:tcW w:type="dxa" w:w="680"/>
            <w:shd w:val="clear" w:color="auto" w:fill="8C5A2B"/>
          </w:tcPr>
          <w:p>
            <w:pPr>
              <w:spacing w:after="0" w:before="0"/>
            </w:pPr>
            <w:r/>
            <w:r>
              <w:rPr>
                <w:b/>
                <w:i w:val="0"/>
                <w:color w:val="FFFFFF"/>
                <w:sz w:val="18"/>
              </w:rPr>
              <w:t>Ja</w:t>
            </w:r>
          </w:p>
        </w:tc>
        <w:tc>
          <w:tcPr>
            <w:tcW w:type="dxa" w:w="680"/>
            <w:shd w:val="clear" w:color="auto" w:fill="8C5A2B"/>
          </w:tcPr>
          <w:p>
            <w:pPr>
              <w:spacing w:after="0" w:before="0"/>
            </w:pPr>
            <w:r/>
            <w:r>
              <w:rPr>
                <w:b/>
                <w:i w:val="0"/>
                <w:color w:val="FFFFFF"/>
                <w:sz w:val="18"/>
              </w:rPr>
              <w:t>Nein</w:t>
            </w:r>
          </w:p>
        </w:tc>
        <w:tc>
          <w:tcPr>
            <w:tcW w:type="dxa" w:w="3061"/>
            <w:shd w:val="clear" w:color="auto" w:fill="8C5A2B"/>
          </w:tcPr>
          <w:p>
            <w:pPr>
              <w:spacing w:after="0" w:before="0"/>
            </w:pPr>
            <w:r/>
            <w:r>
              <w:rPr>
                <w:b/>
                <w:i w:val="0"/>
                <w:color w:val="FFFFFF"/>
                <w:sz w:val="18"/>
              </w:rPr>
              <w:t>Nachweis / Bemerkung</w:t>
            </w:r>
          </w:p>
        </w:tc>
      </w:tr>
      <w:tr>
        <w:trPr>
          <w:cantSplit w:val="true"/>
        </w:trPr>
        <w:tc>
          <w:tcPr>
            <w:tcW w:type="dxa" w:w="5216"/>
          </w:tcPr>
          <w:p>
            <w:pPr>
              <w:spacing w:after="0" w:before="0"/>
            </w:pPr>
            <w:r/>
            <w:r>
              <w:rPr>
                <w:b w:val="0"/>
                <w:i w:val="0"/>
                <w:color w:val="1A1A1A"/>
                <w:sz w:val="18"/>
              </w:rPr>
              <w:t>Sieht unser Auditprogramm Audits vor großen Veranstaltungen vor?</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Liegt dieses Audit vor dem Tag, an dem die langsamste Korrektur noch möglich ist?</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Wird jede Zusage aus Vertrag und Angebot einzeln geprüft?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Ist für jede Zusage ein Auftrag erteilt, nicht nur ein Gespräch geführt?</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Prüfen wir den Raumplan des Kunden gegen unsere Zusagen?</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Hat jede Zusage mit Termin eine zuständige Person?</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Steht in der Risikoliste, was geschieht, wenn eine Zusage von Fremden nicht hält?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Bleiben behobene Befunde im Bericht, mit der Frage nach dem Ablauf?</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bl>
    <w:p>
      <w:pPr>
        <w:spacing w:after="40"/>
      </w:pPr>
    </w:p>
    <w:p>
      <w:pPr>
        <w:pStyle w:val="Heading2"/>
      </w:pPr>
      <w:r>
        <w:t>Häufige Fehler</w:t>
      </w:r>
    </w:p>
    <w:p>
      <w:pPr>
        <w:tabs>
          <w:tab w:pos="340" w:val="left"/>
        </w:tabs>
        <w:ind w:left="340" w:hanging="340"/>
      </w:pPr>
      <w:r>
        <w:rPr>
          <w:color w:val="8C5A2B"/>
        </w:rPr>
        <w:t>–</w:t>
        <w:tab/>
      </w:r>
      <w:r>
        <w:rPr>
          <w:b/>
        </w:rPr>
        <w:t>Erst prüfen, wenn das Fest läuft.</w:t>
      </w:r>
      <w:r>
        <w:t xml:space="preserve"> Dann ist von vielen Zusagen nur noch der Befund übrig.</w:t>
      </w:r>
    </w:p>
    <w:p>
      <w:pPr>
        <w:tabs>
          <w:tab w:pos="340" w:val="left"/>
        </w:tabs>
        <w:ind w:left="340" w:hanging="340"/>
      </w:pPr>
      <w:r>
        <w:rPr>
          <w:color w:val="8C5A2B"/>
        </w:rPr>
        <w:t>–</w:t>
        <w:tab/>
      </w:r>
      <w:r>
        <w:rPr>
          <w:b/>
        </w:rPr>
        <w:t>Drei Tage vorher prüfen.</w:t>
      </w:r>
      <w:r>
        <w:t xml:space="preserve"> Für Lieferanten mit Vorlauf ist es dann zu spät.</w:t>
      </w:r>
    </w:p>
    <w:p>
      <w:pPr>
        <w:tabs>
          <w:tab w:pos="340" w:val="left"/>
        </w:tabs>
        <w:ind w:left="340" w:hanging="340"/>
      </w:pPr>
      <w:r>
        <w:rPr>
          <w:color w:val="8C5A2B"/>
        </w:rPr>
        <w:t>–</w:t>
        <w:tab/>
      </w:r>
      <w:r>
        <w:rPr>
          <w:b/>
        </w:rPr>
        <w:t>Ein Gespräch für einen Auftrag halten.</w:t>
      </w:r>
      <w:r>
        <w:t xml:space="preserve"> Geliefert wird, was bestellt ist.</w:t>
      </w:r>
    </w:p>
    <w:p>
      <w:pPr>
        <w:tabs>
          <w:tab w:pos="340" w:val="left"/>
        </w:tabs>
        <w:ind w:left="340" w:hanging="340"/>
      </w:pPr>
      <w:r>
        <w:rPr>
          <w:color w:val="8C5A2B"/>
        </w:rPr>
        <w:t>–</w:t>
        <w:tab/>
      </w:r>
      <w:r>
        <w:rPr>
          <w:b/>
        </w:rPr>
        <w:t>Den Raumplan des Kunden übernehmen.</w:t>
      </w:r>
      <w:r>
        <w:t xml:space="preserve"> Das Haus kennt seine Stufen, der Kunde nicht.</w:t>
      </w:r>
    </w:p>
    <w:p>
      <w:pPr>
        <w:tabs>
          <w:tab w:pos="340" w:val="left"/>
        </w:tabs>
        <w:ind w:left="340" w:hanging="340"/>
      </w:pPr>
      <w:r>
        <w:rPr>
          <w:color w:val="8C5A2B"/>
        </w:rPr>
        <w:t>–</w:t>
        <w:tab/>
      </w:r>
      <w:r>
        <w:rPr>
          <w:b/>
        </w:rPr>
        <w:t>Selbst korrigieren.</w:t>
      </w:r>
      <w:r>
        <w:t xml:space="preserve"> Wer als Auditor umplant, prüft beim nächsten Mal die eigene Arbeit.</w:t>
      </w:r>
    </w:p>
    <w:p>
      <w:pPr>
        <w:tabs>
          <w:tab w:pos="340" w:val="left"/>
        </w:tabs>
        <w:ind w:left="340" w:hanging="340"/>
      </w:pPr>
      <w:r>
        <w:rPr>
          <w:color w:val="8C5A2B"/>
        </w:rPr>
        <w:t>–</w:t>
        <w:tab/>
      </w:r>
      <w:r>
        <w:rPr>
          <w:b/>
        </w:rPr>
        <w:t>Behobene Befunde streichen.</w:t>
      </w:r>
      <w:r>
        <w:t xml:space="preserve"> Die Tagung ist gerettet, der Ablauf ist derselbe.</w:t>
      </w:r>
    </w:p>
    <w:p>
      <w:pPr>
        <w:pStyle w:val="Heading2"/>
      </w:pPr>
      <w:r>
        <w:t>Modellrechnung</w:t>
      </w:r>
    </w:p>
    <w:p>
      <w:r>
        <w:rPr>
          <w:b w:val="0"/>
          <w:i/>
          <w:color w:val="5A5A5A"/>
          <w:sz w:val="18"/>
        </w:rPr>
        <w:t>Modellannahme, kein belegter Branchenwert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175"/>
        <w:gridCol w:w="1474"/>
        <w:gridCol w:w="3175"/>
        <w:gridCol w:w="1814"/>
      </w:tblGrid>
      <w:tr>
        <w:trPr>
          <w:cantSplit w:val="true"/>
          <w:tblHeader w:val="true"/>
        </w:trPr>
        <w:tc>
          <w:tcPr>
            <w:tcW w:type="dxa" w:w="3175"/>
            <w:shd w:val="clear" w:color="auto" w:fill="8C5A2B"/>
          </w:tcPr>
          <w:p>
            <w:pPr>
              <w:spacing w:after="0" w:before="0"/>
            </w:pPr>
            <w:r/>
            <w:r>
              <w:rPr>
                <w:b/>
                <w:i w:val="0"/>
                <w:color w:val="FFFFFF"/>
                <w:sz w:val="18"/>
              </w:rPr>
              <w:t>Posten</w:t>
            </w:r>
          </w:p>
        </w:tc>
        <w:tc>
          <w:tcPr>
            <w:tcW w:type="dxa" w:w="1474"/>
            <w:shd w:val="clear" w:color="auto" w:fill="8C5A2B"/>
          </w:tcPr>
          <w:p>
            <w:pPr>
              <w:spacing w:after="0" w:before="0"/>
            </w:pPr>
            <w:r/>
            <w:r>
              <w:rPr>
                <w:b/>
                <w:i w:val="0"/>
                <w:color w:val="FFFFFF"/>
                <w:sz w:val="18"/>
              </w:rPr>
              <w:t>Betrag</w:t>
            </w:r>
          </w:p>
        </w:tc>
        <w:tc>
          <w:tcPr>
            <w:tcW w:type="dxa" w:w="3175"/>
            <w:shd w:val="clear" w:color="auto" w:fill="8C5A2B"/>
          </w:tcPr>
          <w:p>
            <w:pPr>
              <w:spacing w:after="0" w:before="0"/>
            </w:pPr>
            <w:r/>
            <w:r>
              <w:rPr>
                <w:b/>
                <w:i w:val="0"/>
                <w:color w:val="FFFFFF"/>
                <w:sz w:val="18"/>
              </w:rPr>
              <w:t>Anmerkung</w:t>
            </w:r>
          </w:p>
        </w:tc>
        <w:tc>
          <w:tcPr>
            <w:tcW w:type="dxa" w:w="1814"/>
            <w:shd w:val="clear" w:color="auto" w:fill="8C5A2B"/>
          </w:tcPr>
          <w:p>
            <w:pPr>
              <w:spacing w:after="0" w:before="0"/>
            </w:pPr>
            <w:r/>
            <w:r>
              <w:rPr>
                <w:b/>
                <w:i w:val="0"/>
                <w:color w:val="FFFFFF"/>
                <w:sz w:val="18"/>
              </w:rPr>
              <w:t>Eigener Wert</w:t>
            </w:r>
          </w:p>
        </w:tc>
      </w:tr>
      <w:tr>
        <w:trPr>
          <w:cantSplit w:val="true"/>
        </w:trPr>
        <w:tc>
          <w:tcPr>
            <w:tcW w:type="dxa" w:w="3175"/>
          </w:tcPr>
          <w:p>
            <w:pPr>
              <w:spacing w:after="0" w:before="0"/>
            </w:pPr>
            <w:r/>
            <w:r>
              <w:rPr>
                <w:b w:val="0"/>
                <w:i w:val="0"/>
                <w:color w:val="1A1A1A"/>
                <w:sz w:val="18"/>
              </w:rPr>
              <w:t>Zusagenspiegel und Lesen der Papiere</w:t>
            </w:r>
          </w:p>
        </w:tc>
        <w:tc>
          <w:tcPr>
            <w:tcW w:type="dxa" w:w="1474"/>
          </w:tcPr>
          <w:p>
            <w:pPr>
              <w:spacing w:after="0" w:before="0"/>
            </w:pPr>
            <w:r/>
            <w:r>
              <w:rPr>
                <w:b w:val="0"/>
                <w:i w:val="0"/>
                <w:color w:val="1A1A1A"/>
                <w:sz w:val="18"/>
              </w:rPr>
              <w:t>4 Stunden</w:t>
            </w:r>
          </w:p>
        </w:tc>
        <w:tc>
          <w:tcPr>
            <w:tcW w:type="dxa" w:w="3175"/>
          </w:tcPr>
          <w:p>
            <w:pPr>
              <w:spacing w:after="0" w:before="0"/>
            </w:pPr>
            <w:r/>
            <w:r>
              <w:rPr>
                <w:b w:val="0"/>
                <w:i w:val="0"/>
                <w:color w:val="1A1A1A"/>
                <w:sz w:val="18"/>
              </w:rPr>
              <w:t>Auditor</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Gespräche mit Veranstaltungsleiterin und Küchenchef; Wege abgehen</w:t>
            </w:r>
          </w:p>
        </w:tc>
        <w:tc>
          <w:tcPr>
            <w:tcW w:type="dxa" w:w="1474"/>
            <w:shd w:val="clear" w:color="auto" w:fill="F3EFE6"/>
          </w:tcPr>
          <w:p>
            <w:pPr>
              <w:spacing w:after="0" w:before="0"/>
            </w:pPr>
            <w:r/>
            <w:r>
              <w:rPr>
                <w:b w:val="0"/>
                <w:i w:val="0"/>
                <w:color w:val="1A1A1A"/>
                <w:sz w:val="18"/>
              </w:rPr>
              <w:t>3 Stunden</w:t>
            </w:r>
          </w:p>
        </w:tc>
        <w:tc>
          <w:tcPr>
            <w:tcW w:type="dxa" w:w="3175"/>
            <w:shd w:val="clear" w:color="auto" w:fill="F3EFE6"/>
          </w:tcPr>
          <w:p>
            <w:pPr>
              <w:spacing w:after="0" w:before="0"/>
            </w:pPr>
            <w:r/>
            <w:r>
              <w:rPr>
                <w:b w:val="0"/>
                <w:i w:val="0"/>
                <w:color w:val="1A1A1A"/>
                <w:sz w:val="18"/>
              </w:rPr>
              <w:t>Auditor</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Bericht und Rückmeldung am selben Tag</w:t>
            </w:r>
          </w:p>
        </w:tc>
        <w:tc>
          <w:tcPr>
            <w:tcW w:type="dxa" w:w="1474"/>
          </w:tcPr>
          <w:p>
            <w:pPr>
              <w:spacing w:after="0" w:before="0"/>
            </w:pPr>
            <w:r/>
            <w:r>
              <w:rPr>
                <w:b w:val="0"/>
                <w:i w:val="0"/>
                <w:color w:val="1A1A1A"/>
                <w:sz w:val="18"/>
              </w:rPr>
              <w:t>2 Stunden</w:t>
            </w:r>
          </w:p>
        </w:tc>
        <w:tc>
          <w:tcPr>
            <w:tcW w:type="dxa" w:w="3175"/>
          </w:tcPr>
          <w:p>
            <w:pPr>
              <w:spacing w:after="0" w:before="0"/>
            </w:pPr>
            <w:r/>
            <w:r>
              <w:rPr>
                <w:b w:val="0"/>
                <w:i w:val="0"/>
                <w:color w:val="1A1A1A"/>
                <w:sz w:val="18"/>
              </w:rPr>
              <w:t>Auditor</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Summe: 9 Stunden zu € 42</w:t>
            </w:r>
          </w:p>
        </w:tc>
        <w:tc>
          <w:tcPr>
            <w:tcW w:type="dxa" w:w="1474"/>
            <w:shd w:val="clear" w:color="auto" w:fill="F3EFE6"/>
          </w:tcPr>
          <w:p>
            <w:pPr>
              <w:spacing w:after="0" w:before="0"/>
            </w:pPr>
            <w:r/>
            <w:r>
              <w:rPr>
                <w:b w:val="0"/>
                <w:i w:val="0"/>
                <w:color w:val="1A1A1A"/>
                <w:sz w:val="18"/>
              </w:rPr>
              <w:t>€ 378</w:t>
            </w:r>
          </w:p>
        </w:tc>
        <w:tc>
          <w:tcPr>
            <w:tcW w:type="dxa" w:w="3175"/>
            <w:shd w:val="clear" w:color="auto" w:fill="F3EFE6"/>
          </w:tcPr>
          <w:p>
            <w:pPr>
              <w:spacing w:after="0" w:before="0"/>
            </w:pPr>
            <w:r/>
            <w:r>
              <w:rPr>
                <w:b w:val="0"/>
                <w:i w:val="0"/>
                <w:color w:val="1A1A1A"/>
                <w:sz w:val="18"/>
              </w:rPr>
              <w:t>interne Kosten des Audits</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Regionaler Einkauf: 260 Personen × 2 Tage × € 1,80 Mehrkosten</w:t>
            </w:r>
          </w:p>
        </w:tc>
        <w:tc>
          <w:tcPr>
            <w:tcW w:type="dxa" w:w="1474"/>
          </w:tcPr>
          <w:p>
            <w:pPr>
              <w:spacing w:after="0" w:before="0"/>
            </w:pPr>
            <w:r/>
            <w:r>
              <w:rPr>
                <w:b w:val="0"/>
                <w:i w:val="0"/>
                <w:color w:val="1A1A1A"/>
                <w:sz w:val="18"/>
              </w:rPr>
              <w:t>€ 936</w:t>
            </w:r>
          </w:p>
        </w:tc>
        <w:tc>
          <w:tcPr>
            <w:tcW w:type="dxa" w:w="3175"/>
          </w:tcPr>
          <w:p>
            <w:pPr>
              <w:spacing w:after="0" w:before="0"/>
            </w:pPr>
            <w:r/>
            <w:r>
              <w:rPr>
                <w:b w:val="0"/>
                <w:i w:val="0"/>
                <w:color w:val="1A1A1A"/>
                <w:sz w:val="18"/>
              </w:rPr>
              <w:t>Wareneinsatz, Schätzung des Küchenchefs</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Dieselbe Korrektur in der Woche der Tagung</w:t>
            </w:r>
          </w:p>
        </w:tc>
        <w:tc>
          <w:tcPr>
            <w:tcW w:type="dxa" w:w="1474"/>
            <w:shd w:val="clear" w:color="auto" w:fill="F3EFE6"/>
          </w:tcPr>
          <w:p>
            <w:pPr>
              <w:spacing w:after="0" w:before="0"/>
            </w:pPr>
            <w:r/>
            <w:r>
              <w:rPr>
                <w:b w:val="0"/>
                <w:i w:val="0"/>
                <w:color w:val="1A1A1A"/>
                <w:sz w:val="18"/>
              </w:rPr>
              <w:t>€ 1.400</w:t>
            </w:r>
          </w:p>
        </w:tc>
        <w:tc>
          <w:tcPr>
            <w:tcW w:type="dxa" w:w="3175"/>
            <w:shd w:val="clear" w:color="auto" w:fill="F3EFE6"/>
          </w:tcPr>
          <w:p>
            <w:pPr>
              <w:spacing w:after="0" w:before="0"/>
            </w:pPr>
            <w:r/>
            <w:r>
              <w:rPr>
                <w:b w:val="0"/>
                <w:i w:val="0"/>
                <w:color w:val="1A1A1A"/>
                <w:sz w:val="18"/>
              </w:rPr>
              <w:t>Annahme: Expresslieferung und Ersatzmenü</w:t>
            </w:r>
          </w:p>
        </w:tc>
        <w:tc>
          <w:tcPr>
            <w:tcW w:type="dxa" w:w="1814"/>
            <w:shd w:val="clear" w:color="auto" w:fill="F3EFE6"/>
          </w:tcPr>
          <w:p>
            <w:pPr>
              <w:spacing w:after="0" w:before="0"/>
            </w:pPr>
            <w:r/>
            <w:r>
              <w:rPr>
                <w:b w:val="0"/>
                <w:i w:val="0"/>
                <w:color w:val="1A1A1A"/>
                <w:sz w:val="18"/>
              </w:rPr>
            </w:r>
          </w:p>
        </w:tc>
      </w:tr>
    </w:tbl>
    <w:p>
      <w:pPr>
        <w:spacing w:after="40"/>
      </w:pPr>
    </w:p>
    <w:p>
      <w:r>
        <w:rPr>
          <w:b w:val="0"/>
          <w:i w:val="0"/>
        </w:rPr>
        <w:t>Die Rechnung zeigt den Preis der Zeit. Drei Wochen vorher kostet die Korrektur den Mehrpreis der Ware, in der Woche der Tagung käme der Preis der Eile dazu. Die beiden Beträge sind Wareneinsatz und Kosten, kein entgangener Gewinn. Nicht enthalten ist der Teilnehmer im Rollstuhl, der vor vierzehn Stufen gestanden hätte. Dieser Befund hat keinen Preis und war am leichtesten zu beheben.</w:t>
      </w:r>
    </w:p>
    <w:p>
      <w:pPr>
        <w:pStyle w:val="Heading2"/>
      </w:pPr>
      <w:r>
        <w:t>Was verlangt ist, und was nur Anleitung ist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88"/>
        <w:gridCol w:w="3175"/>
        <w:gridCol w:w="3175"/>
      </w:tblGrid>
      <w:tr>
        <w:trPr>
          <w:cantSplit w:val="true"/>
          <w:tblHeader w:val="true"/>
        </w:trPr>
        <w:tc>
          <w:tcPr>
            <w:tcW w:type="dxa" w:w="3288"/>
            <w:shd w:val="clear" w:color="auto" w:fill="8C5A2B"/>
          </w:tcPr>
          <w:p>
            <w:pPr>
              <w:spacing w:after="0" w:before="0"/>
            </w:pPr>
            <w:r/>
            <w:r>
              <w:rPr>
                <w:b/>
                <w:i w:val="0"/>
                <w:color w:val="FFFFFF"/>
                <w:sz w:val="18"/>
              </w:rPr>
              <w:t>Verlangt (Norm)</w:t>
            </w:r>
          </w:p>
        </w:tc>
        <w:tc>
          <w:tcPr>
            <w:tcW w:type="dxa" w:w="3175"/>
            <w:shd w:val="clear" w:color="auto" w:fill="8C5A2B"/>
          </w:tcPr>
          <w:p>
            <w:pPr>
              <w:spacing w:after="0" w:before="0"/>
            </w:pPr>
            <w:r/>
            <w:r>
              <w:rPr>
                <w:b/>
                <w:i w:val="0"/>
                <w:color w:val="FFFFFF"/>
                <w:sz w:val="18"/>
              </w:rPr>
              <w:t>Was es im Hotel belegt</w:t>
            </w:r>
          </w:p>
        </w:tc>
        <w:tc>
          <w:tcPr>
            <w:tcW w:type="dxa" w:w="3175"/>
            <w:shd w:val="clear" w:color="auto" w:fill="8C5A2B"/>
          </w:tcPr>
          <w:p>
            <w:pPr>
              <w:spacing w:after="0" w:before="0"/>
            </w:pPr>
            <w:r/>
            <w:r>
              <w:rPr>
                <w:b/>
                <w:i w:val="0"/>
                <w:color w:val="FFFFFF"/>
                <w:sz w:val="18"/>
              </w:rPr>
              <w:t>Nur Leitfaden oder Methode</w:t>
            </w:r>
          </w:p>
        </w:tc>
      </w:tr>
      <w:tr>
        <w:trPr>
          <w:cantSplit w:val="true"/>
        </w:trPr>
        <w:tc>
          <w:tcPr>
            <w:tcW w:type="dxa" w:w="3288"/>
          </w:tcPr>
          <w:p>
            <w:pPr>
              <w:spacing w:after="0" w:before="0"/>
            </w:pPr>
            <w:r/>
            <w:r>
              <w:rPr>
                <w:b w:val="0"/>
                <w:i w:val="0"/>
                <w:color w:val="1A1A1A"/>
                <w:sz w:val="18"/>
              </w:rPr>
              <w:t>Prozesse planen, Kriterien festlegen, extern bereitgestellte Leistungen steuern (8.1)</w:t>
            </w:r>
          </w:p>
        </w:tc>
        <w:tc>
          <w:tcPr>
            <w:tcW w:type="dxa" w:w="3175"/>
          </w:tcPr>
          <w:p>
            <w:pPr>
              <w:spacing w:after="0" w:before="0"/>
            </w:pPr>
            <w:r/>
            <w:r>
              <w:rPr>
                <w:b w:val="0"/>
                <w:i w:val="0"/>
                <w:color w:val="1A1A1A"/>
                <w:sz w:val="18"/>
              </w:rPr>
              <w:t>Bankettformular mit den Zusagen und ihren Prüfern</w:t>
            </w:r>
          </w:p>
        </w:tc>
        <w:tc>
          <w:tcPr>
            <w:tcW w:type="dxa" w:w="3175"/>
          </w:tcPr>
          <w:p>
            <w:pPr>
              <w:spacing w:after="0" w:before="0"/>
            </w:pPr>
            <w:r/>
            <w:r>
              <w:rPr>
                <w:b w:val="0"/>
                <w:i w:val="0"/>
                <w:color w:val="1A1A1A"/>
                <w:sz w:val="18"/>
              </w:rPr>
              <w:t>Methode: Zusagenspiegel mit letztem Korrekturtag</w:t>
            </w:r>
          </w:p>
        </w:tc>
      </w:tr>
      <w:tr>
        <w:trPr>
          <w:cantSplit w:val="true"/>
        </w:trPr>
        <w:tc>
          <w:tcPr>
            <w:tcW w:type="dxa" w:w="3288"/>
            <w:shd w:val="clear" w:color="auto" w:fill="F3EFE6"/>
          </w:tcPr>
          <w:p>
            <w:pPr>
              <w:spacing w:after="0" w:before="0"/>
            </w:pPr>
            <w:r/>
            <w:r>
              <w:rPr>
                <w:b w:val="0"/>
                <w:i w:val="0"/>
                <w:color w:val="1A1A1A"/>
                <w:sz w:val="18"/>
              </w:rPr>
              <w:t>Nachhaltigkeitsanforderungen bei der Auswahl von Lieferanten berücksichtigen (8.3)</w:t>
            </w:r>
          </w:p>
        </w:tc>
        <w:tc>
          <w:tcPr>
            <w:tcW w:type="dxa" w:w="3175"/>
            <w:shd w:val="clear" w:color="auto" w:fill="F3EFE6"/>
          </w:tcPr>
          <w:p>
            <w:pPr>
              <w:spacing w:after="0" w:before="0"/>
            </w:pPr>
            <w:r/>
            <w:r>
              <w:rPr>
                <w:b w:val="0"/>
                <w:i w:val="0"/>
                <w:color w:val="1A1A1A"/>
                <w:sz w:val="18"/>
              </w:rPr>
              <w:t>Auftrag an den Gemüsebauern mit Herkunftsangabe</w:t>
            </w:r>
          </w:p>
        </w:tc>
        <w:tc>
          <w:tcPr>
            <w:tcW w:type="dxa" w:w="3175"/>
            <w:shd w:val="clear" w:color="auto" w:fill="F3EFE6"/>
          </w:tcPr>
          <w:p>
            <w:pPr>
              <w:spacing w:after="0" w:before="0"/>
            </w:pPr>
            <w:r/>
            <w:r>
              <w:rPr>
                <w:b w:val="0"/>
                <w:i w:val="0"/>
                <w:color w:val="1A1A1A"/>
                <w:sz w:val="18"/>
              </w:rPr>
              <w:t>Anhang B als Anleitung (Band 8a, 2.8)</w:t>
            </w:r>
          </w:p>
        </w:tc>
      </w:tr>
      <w:tr>
        <w:trPr>
          <w:cantSplit w:val="true"/>
        </w:trPr>
        <w:tc>
          <w:tcPr>
            <w:tcW w:type="dxa" w:w="3288"/>
          </w:tcPr>
          <w:p>
            <w:pPr>
              <w:spacing w:after="0" w:before="0"/>
            </w:pPr>
            <w:r/>
            <w:r>
              <w:rPr>
                <w:b w:val="0"/>
                <w:i w:val="0"/>
                <w:color w:val="1A1A1A"/>
                <w:sz w:val="18"/>
              </w:rPr>
              <w:t>Maßnahmen zu Risiken in Prozesse einbinden und ihre Wirksamkeit bewerten (6.1.1)</w:t>
            </w:r>
          </w:p>
        </w:tc>
        <w:tc>
          <w:tcPr>
            <w:tcW w:type="dxa" w:w="3175"/>
          </w:tcPr>
          <w:p>
            <w:pPr>
              <w:spacing w:after="0" w:before="0"/>
            </w:pPr>
            <w:r/>
            <w:r>
              <w:rPr>
                <w:b w:val="0"/>
                <w:i w:val="0"/>
                <w:color w:val="1A1A1A"/>
                <w:sz w:val="18"/>
              </w:rPr>
              <w:t>Risikoliste mit einer Zeile je Zusage, die von Fremden abhängt</w:t>
            </w:r>
          </w:p>
        </w:tc>
        <w:tc>
          <w:tcPr>
            <w:tcW w:type="dxa" w:w="3175"/>
          </w:tcPr>
          <w:p>
            <w:pPr>
              <w:spacing w:after="0" w:before="0"/>
            </w:pPr>
            <w:r/>
            <w:r>
              <w:rPr>
                <w:b w:val="0"/>
                <w:i w:val="0"/>
                <w:color w:val="1A1A1A"/>
                <w:sz w:val="18"/>
              </w:rPr>
              <w:t>Methode: Ersatzlösung vorab festlegen</w:t>
            </w:r>
          </w:p>
        </w:tc>
      </w:tr>
      <w:tr>
        <w:trPr>
          <w:cantSplit w:val="true"/>
        </w:trPr>
        <w:tc>
          <w:tcPr>
            <w:tcW w:type="dxa" w:w="3288"/>
            <w:shd w:val="clear" w:color="auto" w:fill="F3EFE6"/>
          </w:tcPr>
          <w:p>
            <w:pPr>
              <w:spacing w:after="0" w:before="0"/>
            </w:pPr>
            <w:r/>
            <w:r>
              <w:rPr>
                <w:b w:val="0"/>
                <w:i w:val="0"/>
                <w:color w:val="1A1A1A"/>
                <w:sz w:val="18"/>
              </w:rPr>
              <w:t>Externe Kommunikation: was, wann, mit wem (7.4)</w:t>
            </w:r>
          </w:p>
        </w:tc>
        <w:tc>
          <w:tcPr>
            <w:tcW w:type="dxa" w:w="3175"/>
            <w:shd w:val="clear" w:color="auto" w:fill="F3EFE6"/>
          </w:tcPr>
          <w:p>
            <w:pPr>
              <w:spacing w:after="0" w:before="0"/>
            </w:pPr>
            <w:r/>
            <w:r>
              <w:rPr>
                <w:b w:val="0"/>
                <w:i w:val="0"/>
                <w:color w:val="1A1A1A"/>
                <w:sz w:val="18"/>
              </w:rPr>
              <w:t>Anreisetext an die Geschäftsstelle, mit Datum</w:t>
            </w:r>
          </w:p>
        </w:tc>
        <w:tc>
          <w:tcPr>
            <w:tcW w:type="dxa" w:w="3175"/>
            <w:shd w:val="clear" w:color="auto" w:fill="F3EFE6"/>
          </w:tcPr>
          <w:p>
            <w:pPr>
              <w:spacing w:after="0" w:before="0"/>
            </w:pPr>
            <w:r/>
            <w:r>
              <w:rPr>
                <w:b w:val="0"/>
                <w:i w:val="0"/>
                <w:color w:val="1A1A1A"/>
                <w:sz w:val="18"/>
              </w:rPr>
              <w:t>Methode: jede Zusage mit Termin und zuständiger Person</w:t>
            </w:r>
          </w:p>
        </w:tc>
      </w:tr>
      <w:tr>
        <w:trPr>
          <w:cantSplit w:val="true"/>
        </w:trPr>
        <w:tc>
          <w:tcPr>
            <w:tcW w:type="dxa" w:w="3288"/>
          </w:tcPr>
          <w:p>
            <w:pPr>
              <w:spacing w:after="0" w:before="0"/>
            </w:pPr>
            <w:r/>
            <w:r>
              <w:rPr>
                <w:b w:val="0"/>
                <w:i w:val="0"/>
                <w:color w:val="1A1A1A"/>
                <w:sz w:val="18"/>
              </w:rPr>
              <w:t>Änderungen steuern, Lehren an die Managementbewertung (8.2)</w:t>
            </w:r>
          </w:p>
        </w:tc>
        <w:tc>
          <w:tcPr>
            <w:tcW w:type="dxa" w:w="3175"/>
          </w:tcPr>
          <w:p>
            <w:pPr>
              <w:spacing w:after="0" w:before="0"/>
            </w:pPr>
            <w:r/>
            <w:r>
              <w:rPr>
                <w:b w:val="0"/>
                <w:i w:val="0"/>
                <w:color w:val="1A1A1A"/>
                <w:sz w:val="18"/>
              </w:rPr>
              <w:t>Vermerk über den getauschten Raum; Mitteilung an den Auftraggeber</w:t>
            </w:r>
          </w:p>
        </w:tc>
        <w:tc>
          <w:tcPr>
            <w:tcW w:type="dxa" w:w="3175"/>
          </w:tcPr>
          <w:p>
            <w:pPr>
              <w:spacing w:after="0" w:before="0"/>
            </w:pPr>
            <w:r/>
            <w:r>
              <w:rPr>
                <w:b w:val="0"/>
                <w:i w:val="0"/>
                <w:color w:val="1A1A1A"/>
                <w:sz w:val="18"/>
              </w:rPr>
              <w:t>A.12: Zielkonflikte als Anleitung</w:t>
            </w:r>
          </w:p>
        </w:tc>
      </w:tr>
      <w:tr>
        <w:trPr>
          <w:cantSplit w:val="true"/>
        </w:trPr>
        <w:tc>
          <w:tcPr>
            <w:tcW w:type="dxa" w:w="3288"/>
            <w:shd w:val="clear" w:color="auto" w:fill="F3EFE6"/>
          </w:tcPr>
          <w:p>
            <w:pPr>
              <w:spacing w:after="0" w:before="0"/>
            </w:pPr>
            <w:r/>
            <w:r>
              <w:rPr>
                <w:b w:val="0"/>
                <w:i w:val="0"/>
                <w:color w:val="1A1A1A"/>
                <w:sz w:val="18"/>
              </w:rPr>
              <w:t>Interne Audits in geplanten Abständen (9.2)</w:t>
            </w:r>
          </w:p>
        </w:tc>
        <w:tc>
          <w:tcPr>
            <w:tcW w:type="dxa" w:w="3175"/>
            <w:shd w:val="clear" w:color="auto" w:fill="F3EFE6"/>
          </w:tcPr>
          <w:p>
            <w:pPr>
              <w:spacing w:after="0" w:before="0"/>
            </w:pPr>
            <w:r/>
            <w:r>
              <w:rPr>
                <w:b w:val="0"/>
                <w:i w:val="0"/>
                <w:color w:val="1A1A1A"/>
                <w:sz w:val="18"/>
              </w:rPr>
              <w:t>Programm mit Audits vor, während und nach großen Veranstaltungen</w:t>
            </w:r>
          </w:p>
        </w:tc>
        <w:tc>
          <w:tcPr>
            <w:tcW w:type="dxa" w:w="3175"/>
            <w:shd w:val="clear" w:color="auto" w:fill="F3EFE6"/>
          </w:tcPr>
          <w:p>
            <w:pPr>
              <w:spacing w:after="0" w:before="0"/>
            </w:pPr>
            <w:r/>
            <w:r>
              <w:rPr>
                <w:b w:val="0"/>
                <w:i w:val="0"/>
                <w:color w:val="1A1A1A"/>
                <w:sz w:val="18"/>
              </w:rPr>
              <w:t>ISO 19011:2026: risikobasierter Ansatz</w:t>
            </w:r>
          </w:p>
        </w:tc>
      </w:tr>
    </w:tbl>
    <w:p>
      <w:pPr>
        <w:spacing w:after="40"/>
      </w:pPr>
    </w:p>
    <w:p>
      <w:pPr>
        <w:pStyle w:val="Heading2"/>
      </w:pPr>
      <w:r>
        <w:t>DACH-Anker: was vor einer Tagung rechtlich zu bedenken ist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1474"/>
        <w:gridCol w:w="2721"/>
        <w:gridCol w:w="2721"/>
        <w:gridCol w:w="2721"/>
      </w:tblGrid>
      <w:tr>
        <w:trPr>
          <w:cantSplit w:val="true"/>
          <w:tblHeader w:val="true"/>
        </w:trPr>
        <w:tc>
          <w:tcPr>
            <w:tcW w:type="dxa" w:w="1474"/>
            <w:shd w:val="clear" w:color="auto" w:fill="8C5A2B"/>
          </w:tcPr>
          <w:p>
            <w:pPr>
              <w:spacing w:after="0" w:before="0"/>
            </w:pPr>
            <w:r/>
            <w:r>
              <w:rPr>
                <w:b/>
                <w:i w:val="0"/>
                <w:color w:val="FFFFFF"/>
                <w:sz w:val="17"/>
              </w:rPr>
              <w:t>Ebene</w:t>
            </w:r>
          </w:p>
        </w:tc>
        <w:tc>
          <w:tcPr>
            <w:tcW w:type="dxa" w:w="2721"/>
            <w:shd w:val="clear" w:color="auto" w:fill="8C5A2B"/>
          </w:tcPr>
          <w:p>
            <w:pPr>
              <w:spacing w:after="0" w:before="0"/>
            </w:pPr>
            <w:r/>
            <w:r>
              <w:rPr>
                <w:b/>
                <w:i w:val="0"/>
                <w:color w:val="FFFFFF"/>
                <w:sz w:val="17"/>
              </w:rPr>
              <w:t>Deutschland</w:t>
            </w:r>
          </w:p>
        </w:tc>
        <w:tc>
          <w:tcPr>
            <w:tcW w:type="dxa" w:w="2721"/>
            <w:shd w:val="clear" w:color="auto" w:fill="8C5A2B"/>
          </w:tcPr>
          <w:p>
            <w:pPr>
              <w:spacing w:after="0" w:before="0"/>
            </w:pPr>
            <w:r/>
            <w:r>
              <w:rPr>
                <w:b/>
                <w:i w:val="0"/>
                <w:color w:val="FFFFFF"/>
                <w:sz w:val="17"/>
              </w:rPr>
              <w:t>Österreich</w:t>
            </w:r>
          </w:p>
        </w:tc>
        <w:tc>
          <w:tcPr>
            <w:tcW w:type="dxa" w:w="2721"/>
            <w:shd w:val="clear" w:color="auto" w:fill="8C5A2B"/>
          </w:tcPr>
          <w:p>
            <w:pPr>
              <w:spacing w:after="0" w:before="0"/>
            </w:pPr>
            <w:r/>
            <w:r>
              <w:rPr>
                <w:b/>
                <w:i w:val="0"/>
                <w:color w:val="FFFFFF"/>
                <w:sz w:val="17"/>
              </w:rPr>
              <w:t>Schweiz</w:t>
            </w:r>
          </w:p>
        </w:tc>
      </w:tr>
      <w:tr>
        <w:trPr>
          <w:cantSplit w:val="true"/>
        </w:trPr>
        <w:tc>
          <w:tcPr>
            <w:tcW w:type="dxa" w:w="1474"/>
          </w:tcPr>
          <w:p>
            <w:pPr>
              <w:spacing w:after="0" w:before="0"/>
            </w:pPr>
            <w:r/>
            <w:r>
              <w:rPr>
                <w:b w:val="0"/>
                <w:i w:val="0"/>
                <w:color w:val="1A1A1A"/>
                <w:sz w:val="17"/>
              </w:rPr>
              <w:t>Zusage «regional» an den Auftraggeber</w:t>
            </w:r>
          </w:p>
        </w:tc>
        <w:tc>
          <w:tcPr>
            <w:tcW w:type="dxa" w:w="2721"/>
          </w:tcPr>
          <w:p>
            <w:pPr>
              <w:spacing w:after="0" w:before="0"/>
            </w:pPr>
            <w:r/>
            <w:r>
              <w:rPr>
                <w:b w:val="0"/>
                <w:i w:val="0"/>
                <w:color w:val="1A1A1A"/>
                <w:sz w:val="17"/>
              </w:rPr>
              <w:t>allgemeines Irreführungsverbot des UWG; Sonderregeln zu Umweltaussagen gegenüber Verbrauchern ab 27. September 2026</w:t>
            </w:r>
          </w:p>
        </w:tc>
        <w:tc>
          <w:tcPr>
            <w:tcW w:type="dxa" w:w="2721"/>
          </w:tcPr>
          <w:p>
            <w:pPr>
              <w:spacing w:after="0" w:before="0"/>
            </w:pPr>
            <w:r/>
            <w:r>
              <w:rPr>
                <w:b w:val="0"/>
                <w:i w:val="0"/>
                <w:color w:val="1A1A1A"/>
                <w:sz w:val="17"/>
              </w:rPr>
              <w:t>allgemeines Irreführungsverbot; Umweltaussagen gegenüber Verbrauchern nach BGBl. I Nr. 58/2026</w:t>
            </w:r>
          </w:p>
        </w:tc>
        <w:tc>
          <w:tcPr>
            <w:tcW w:type="dxa" w:w="2721"/>
          </w:tcPr>
          <w:p>
            <w:pPr>
              <w:spacing w:after="0" w:before="0"/>
            </w:pPr>
            <w:r/>
            <w:r>
              <w:rPr>
                <w:b w:val="0"/>
                <w:i w:val="0"/>
                <w:color w:val="1A1A1A"/>
                <w:sz w:val="17"/>
              </w:rPr>
              <w:t>UWG Art. 3 Abs. 1 lit. b</w:t>
            </w:r>
          </w:p>
        </w:tc>
      </w:tr>
      <w:tr>
        <w:trPr>
          <w:cantSplit w:val="true"/>
        </w:trPr>
        <w:tc>
          <w:tcPr>
            <w:tcW w:type="dxa" w:w="1474"/>
            <w:shd w:val="clear" w:color="auto" w:fill="F3EFE6"/>
          </w:tcPr>
          <w:p>
            <w:pPr>
              <w:spacing w:after="0" w:before="0"/>
            </w:pPr>
            <w:r/>
            <w:r>
              <w:rPr>
                <w:b w:val="0"/>
                <w:i w:val="0"/>
                <w:color w:val="1A1A1A"/>
                <w:sz w:val="17"/>
              </w:rPr>
              <w:t>Allergeninformation am Buffet</w:t>
            </w:r>
          </w:p>
        </w:tc>
        <w:tc>
          <w:tcPr>
            <w:tcW w:type="dxa" w:w="2721"/>
            <w:shd w:val="clear" w:color="auto" w:fill="F3EFE6"/>
          </w:tcPr>
          <w:p>
            <w:pPr>
              <w:spacing w:after="0" w:before="0"/>
            </w:pPr>
            <w:r/>
            <w:r>
              <w:rPr>
                <w:b w:val="0"/>
                <w:i w:val="0"/>
                <w:color w:val="1A1A1A"/>
                <w:sz w:val="17"/>
              </w:rPr>
              <w:t>schriftlich oder mündlich mit leicht zugänglicher schriftlicher Aufzeichnung (§ 4 LMIDV)</w:t>
            </w:r>
          </w:p>
        </w:tc>
        <w:tc>
          <w:tcPr>
            <w:tcW w:type="dxa" w:w="2721"/>
            <w:shd w:val="clear" w:color="auto" w:fill="F3EFE6"/>
          </w:tcPr>
          <w:p>
            <w:pPr>
              <w:spacing w:after="0" w:before="0"/>
            </w:pPr>
            <w:r/>
            <w:r>
              <w:rPr>
                <w:b w:val="0"/>
                <w:i w:val="0"/>
                <w:color w:val="1A1A1A"/>
                <w:sz w:val="17"/>
              </w:rPr>
              <w:t>schriftliche Dokumentation (§ 4 Allergeninformationsverordnung, BGBl. II Nr. 175/2014)</w:t>
            </w:r>
          </w:p>
        </w:tc>
        <w:tc>
          <w:tcPr>
            <w:tcW w:type="dxa" w:w="2721"/>
            <w:shd w:val="clear" w:color="auto" w:fill="F3EFE6"/>
          </w:tcPr>
          <w:p>
            <w:pPr>
              <w:spacing w:after="0" w:before="0"/>
            </w:pPr>
            <w:r/>
            <w:r>
              <w:rPr>
                <w:b w:val="0"/>
                <w:i w:val="0"/>
                <w:color w:val="1A1A1A"/>
                <w:sz w:val="17"/>
              </w:rPr>
              <w:t>Art. 39 LGV, Allergene nach Anhang 6 LIV</w:t>
            </w:r>
          </w:p>
        </w:tc>
      </w:tr>
      <w:tr>
        <w:trPr>
          <w:cantSplit w:val="true"/>
        </w:trPr>
        <w:tc>
          <w:tcPr>
            <w:tcW w:type="dxa" w:w="1474"/>
          </w:tcPr>
          <w:p>
            <w:pPr>
              <w:spacing w:after="0" w:before="0"/>
            </w:pPr>
            <w:r/>
            <w:r>
              <w:rPr>
                <w:b w:val="0"/>
                <w:i w:val="0"/>
                <w:color w:val="1A1A1A"/>
                <w:sz w:val="17"/>
              </w:rPr>
              <w:t>Barrierefreiheit</w:t>
            </w:r>
          </w:p>
        </w:tc>
        <w:tc>
          <w:tcPr>
            <w:tcW w:type="dxa" w:w="2721"/>
          </w:tcPr>
          <w:p>
            <w:pPr>
              <w:spacing w:after="0" w:before="0"/>
            </w:pPr>
            <w:r/>
            <w:r>
              <w:rPr>
                <w:b w:val="0"/>
                <w:i w:val="0"/>
                <w:color w:val="1A1A1A"/>
                <w:sz w:val="17"/>
              </w:rPr>
              <w:t>BFSG für Online-Buchungen seit 28. Juni 2025; im Übrigen bindet die Zusage im Vertrag</w:t>
            </w:r>
          </w:p>
        </w:tc>
        <w:tc>
          <w:tcPr>
            <w:tcW w:type="dxa" w:w="2721"/>
          </w:tcPr>
          <w:p>
            <w:pPr>
              <w:spacing w:after="0" w:before="0"/>
            </w:pPr>
            <w:r/>
            <w:r>
              <w:rPr>
                <w:b w:val="0"/>
                <w:i w:val="0"/>
                <w:color w:val="1A1A1A"/>
                <w:sz w:val="17"/>
              </w:rPr>
              <w:t>BaFG seit 28. Juni 2025; Benachteiligungsverbot bei Gütern und Dienstleistungen (BGStG)</w:t>
            </w:r>
          </w:p>
        </w:tc>
        <w:tc>
          <w:tcPr>
            <w:tcW w:type="dxa" w:w="2721"/>
          </w:tcPr>
          <w:p>
            <w:pPr>
              <w:spacing w:after="0" w:before="0"/>
            </w:pPr>
            <w:r/>
            <w:r>
              <w:rPr>
                <w:b w:val="0"/>
                <w:i w:val="0"/>
                <w:color w:val="1A1A1A"/>
                <w:sz w:val="17"/>
              </w:rPr>
              <w:t>Diskriminierungsverbot für öffentlich angebotene Dienstleistungen (Art. 6 BehiG)</w:t>
            </w:r>
          </w:p>
        </w:tc>
      </w:tr>
      <w:tr>
        <w:trPr>
          <w:cantSplit w:val="true"/>
        </w:trPr>
        <w:tc>
          <w:tcPr>
            <w:tcW w:type="dxa" w:w="1474"/>
            <w:shd w:val="clear" w:color="auto" w:fill="F3EFE6"/>
          </w:tcPr>
          <w:p>
            <w:pPr>
              <w:spacing w:after="0" w:before="0"/>
            </w:pPr>
            <w:r/>
            <w:r>
              <w:rPr>
                <w:b w:val="0"/>
                <w:i w:val="0"/>
                <w:color w:val="1A1A1A"/>
                <w:sz w:val="17"/>
              </w:rPr>
              <w:t>Anmeldeliste mit Unterstützungsbedarf</w:t>
            </w:r>
          </w:p>
        </w:tc>
        <w:tc>
          <w:tcPr>
            <w:tcW w:type="dxa" w:w="2721"/>
            <w:shd w:val="clear" w:color="auto" w:fill="F3EFE6"/>
          </w:tcPr>
          <w:p>
            <w:pPr>
              <w:spacing w:after="0" w:before="0"/>
            </w:pPr>
            <w:r/>
            <w:r>
              <w:rPr>
                <w:b w:val="0"/>
                <w:i w:val="0"/>
                <w:color w:val="1A1A1A"/>
                <w:sz w:val="17"/>
              </w:rPr>
              <w:t>besondere Kategorie von Daten (Art. 9 DSGVO)</w:t>
            </w:r>
          </w:p>
        </w:tc>
        <w:tc>
          <w:tcPr>
            <w:tcW w:type="dxa" w:w="2721"/>
            <w:shd w:val="clear" w:color="auto" w:fill="F3EFE6"/>
          </w:tcPr>
          <w:p>
            <w:pPr>
              <w:spacing w:after="0" w:before="0"/>
            </w:pPr>
            <w:r/>
            <w:r>
              <w:rPr>
                <w:b w:val="0"/>
                <w:i w:val="0"/>
                <w:color w:val="1A1A1A"/>
                <w:sz w:val="17"/>
              </w:rPr>
              <w:t>besondere Kategorie von Daten (Art. 9 DSGVO)</w:t>
            </w:r>
          </w:p>
        </w:tc>
        <w:tc>
          <w:tcPr>
            <w:tcW w:type="dxa" w:w="2721"/>
            <w:shd w:val="clear" w:color="auto" w:fill="F3EFE6"/>
          </w:tcPr>
          <w:p>
            <w:pPr>
              <w:spacing w:after="0" w:before="0"/>
            </w:pPr>
            <w:r/>
            <w:r>
              <w:rPr>
                <w:b w:val="0"/>
                <w:i w:val="0"/>
                <w:color w:val="1A1A1A"/>
                <w:sz w:val="17"/>
              </w:rPr>
              <w:t>besonders schützenswerte Personendaten (Art. 5 lit. c DSG)</w:t>
            </w:r>
          </w:p>
        </w:tc>
      </w:tr>
      <w:tr>
        <w:trPr>
          <w:cantSplit w:val="true"/>
        </w:trPr>
        <w:tc>
          <w:tcPr>
            <w:tcW w:type="dxa" w:w="1474"/>
          </w:tcPr>
          <w:p>
            <w:pPr>
              <w:spacing w:after="0" w:before="0"/>
            </w:pPr>
            <w:r/>
            <w:r>
              <w:rPr>
                <w:b w:val="0"/>
                <w:i w:val="0"/>
                <w:color w:val="1A1A1A"/>
                <w:sz w:val="17"/>
              </w:rPr>
              <w:t>Saal und Bestuhlung</w:t>
            </w:r>
          </w:p>
        </w:tc>
        <w:tc>
          <w:tcPr>
            <w:tcW w:type="dxa" w:w="2721"/>
          </w:tcPr>
          <w:p>
            <w:pPr>
              <w:spacing w:after="0" w:before="0"/>
            </w:pPr>
            <w:r/>
            <w:r>
              <w:rPr>
                <w:b w:val="0"/>
                <w:i w:val="0"/>
                <w:color w:val="1A1A1A"/>
                <w:sz w:val="17"/>
              </w:rPr>
              <w:t>Versammlungsstättenrecht des Landes</w:t>
            </w:r>
          </w:p>
        </w:tc>
        <w:tc>
          <w:tcPr>
            <w:tcW w:type="dxa" w:w="2721"/>
          </w:tcPr>
          <w:p>
            <w:pPr>
              <w:spacing w:after="0" w:before="0"/>
            </w:pPr>
            <w:r/>
            <w:r>
              <w:rPr>
                <w:b w:val="0"/>
                <w:i w:val="0"/>
                <w:color w:val="1A1A1A"/>
                <w:sz w:val="17"/>
              </w:rPr>
              <w:t>Veranstaltungsrecht der Länder</w:t>
            </w:r>
          </w:p>
        </w:tc>
        <w:tc>
          <w:tcPr>
            <w:tcW w:type="dxa" w:w="2721"/>
          </w:tcPr>
          <w:p>
            <w:pPr>
              <w:spacing w:after="0" w:before="0"/>
            </w:pPr>
            <w:r/>
            <w:r>
              <w:rPr>
                <w:b w:val="0"/>
                <w:i w:val="0"/>
                <w:color w:val="1A1A1A"/>
                <w:sz w:val="17"/>
              </w:rPr>
              <w:t>kantonales Recht</w:t>
            </w:r>
          </w:p>
        </w:tc>
      </w:tr>
    </w:tbl>
    <w:p>
      <w:pPr>
        <w:spacing w:after="40"/>
      </w:pPr>
    </w:p>
    <w:p>
      <w:r>
        <w:rPr>
          <w:b w:val="0"/>
          <w:i w:val="0"/>
          <w:color w:val="5A5A5A"/>
          <w:sz w:val="17"/>
        </w:rPr>
        <w:t>Stand der Tabelle: 23. Oktober 2026, wie im Buch. Die laufende Fassung mit Änderungen nach diesem Stichtag steht in Band8b_Rechtsanker_DACH_laufend.xlsx. Die Tabelle ersetzt keine Prüfung der geltenden Fassung und keine Rechtsberatung im Einzelfall.</w:t>
      </w:r>
    </w:p>
    <w:p>
      <w:r>
        <w:rPr>
          <w:b w:val="0"/>
          <w:i w:val="0"/>
          <w:color w:val="5A5A5A"/>
          <w:sz w:val="17"/>
        </w:rPr>
        <w:t>Quelle: Francesco Dore, Das Steuer und die Lupe, Band 8b «Ein Fest prüfen, solange es stattfindet», Abschnitt 3.6. Edizioni Effedore, 2026.</w:t>
      </w:r>
    </w:p>
    <w:sectPr w:rsidR="00FC693F" w:rsidRPr="0006063C" w:rsidSect="00034616">
      <w:footerReference w:type="default" r:id="rId9"/>
      <w:head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5A5A5A"/>
        <w:sz w:val="15"/>
      </w:rPr>
      <w:t xml:space="preserve">Arbeitsmaterial 3.6 · Edizioni Effedore · buecher.effedore.com · Arbeitshilfe, keine Rechtsberatung  ·  Seite </w:t>
    </w:r>
    <w:r>
      <w:rPr>
        <w:color w:val="5A5A5A"/>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rPr>
        <w:color w:val="8C5A2B"/>
        <w:sz w:val="15"/>
      </w:rPr>
      <w:t>Das Steuer und die Lupe · Band 8b · ISO 20121 — Ein Fest prüfen, solange es stattfindet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eastAsia="Aptos"/>
      <w:color w:val="1A1A1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80"/>
      <w:outlineLvl w:val="0"/>
    </w:pPr>
    <w:rPr>
      <w:rFonts w:asciiTheme="" w:eastAsiaTheme="majorEastAsia" w:hAnsiTheme="majorHAnsi" w:cstheme="majorBidi" w:ascii="Aptos" w:hAnsi="Aptos"/>
      <w:b/>
      <w:bCs/>
      <w:color w:val="8C5A2B"/>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 w:eastAsiaTheme="majorEastAsia" w:hAnsiTheme="majorHAnsi" w:cstheme="majorBidi" w:ascii="Aptos" w:hAnsi="Aptos"/>
      <w:b/>
      <w:bCs/>
      <w:color w:val="8C5A2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Arbeitsmaterial 3.6 — Das Audit vor einer Veranstaltung</dc:title>
  <dc:subject/>
  <dc:creator>Francesco Dore</dc:creator>
  <cp:keywords/>
  <dc:description>generated by python-docx</dc:description>
  <cp:lastModifiedBy/>
  <cp:revision>1</cp:revision>
  <dcterms:created xsi:type="dcterms:W3CDTF">2013-12-23T23:15:00Z</dcterms:created>
  <dcterms:modified xsi:type="dcterms:W3CDTF">2013-12-23T23:15:00Z</dcterms:modified>
  <cp:category/>
</cp:coreProperties>
</file>