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3.7</w:t>
      </w:r>
    </w:p>
    <w:p>
      <w:pPr>
        <w:pStyle w:val="Heading1"/>
      </w:pPr>
      <w:r>
        <w:t>Ein Audit während einer Veranstaltung</w:t>
      </w:r>
    </w:p>
    <w:p>
      <w:pPr>
        <w:spacing w:after="0"/>
      </w:pPr>
      <w:r>
        <w:rPr>
          <w:b w:val="0"/>
          <w:i/>
          <w:color w:val="5A5A5A"/>
        </w:rPr>
        <w:t>Abschnitt 3.7 · Das Audit während der Veranstaltung: prüfen, solange das Fest läuft</w:t>
      </w:r>
    </w:p>
    <w:p>
      <w:pPr>
        <w:spacing w:after="160"/>
      </w:pPr>
      <w:r>
        <w:rPr>
          <w:b w:val="0"/>
          <w:i w:val="0"/>
          <w:color w:val="5A5A5A"/>
          <w:sz w:val="18"/>
        </w:rPr>
        <w:t>Modellfall im Buch: Wien</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Wann hat in Ihrem Haus zuletzt jemand mit Prüfauftrag eine ganze Ballnacht lang zugesehen, ohne einzugreifen? Und was hätte er um zwei Uhr früh im Hof gesehen, das am Montag in keinem Ordner steht?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Sechs Regeln für die Beobachtung während des Festes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Regel</w:t>
            </w:r>
          </w:p>
        </w:tc>
        <w:tc>
          <w:tcPr>
            <w:tcW w:type="dxa" w:w="3213"/>
            <w:shd w:val="clear" w:color="auto" w:fill="8C5A2B"/>
          </w:tcPr>
          <w:p>
            <w:pPr>
              <w:spacing w:after="0" w:before="0"/>
            </w:pPr>
            <w:r/>
            <w:r>
              <w:rPr>
                <w:b/>
                <w:i w:val="0"/>
                <w:color w:val="FFFFFF"/>
                <w:sz w:val="18"/>
              </w:rPr>
              <w:t>Warum</w:t>
            </w:r>
          </w:p>
        </w:tc>
        <w:tc>
          <w:tcPr>
            <w:tcW w:type="dxa" w:w="3213"/>
            <w:shd w:val="clear" w:color="auto" w:fill="8C5A2B"/>
          </w:tcPr>
          <w:p>
            <w:pPr>
              <w:spacing w:after="0" w:before="0"/>
            </w:pPr>
            <w:r/>
            <w:r>
              <w:rPr>
                <w:b/>
                <w:i w:val="0"/>
                <w:color w:val="FFFFFF"/>
                <w:sz w:val="18"/>
              </w:rPr>
              <w:t>In der Ballnacht</w:t>
            </w:r>
          </w:p>
        </w:tc>
      </w:tr>
      <w:tr>
        <w:trPr>
          <w:cantSplit w:val="true"/>
        </w:trPr>
        <w:tc>
          <w:tcPr>
            <w:tcW w:type="dxa" w:w="3213"/>
          </w:tcPr>
          <w:p>
            <w:pPr>
              <w:spacing w:after="0" w:before="0"/>
            </w:pPr>
            <w:r/>
            <w:r>
              <w:rPr>
                <w:b w:val="0"/>
                <w:i w:val="0"/>
                <w:color w:val="1A1A1A"/>
                <w:sz w:val="18"/>
              </w:rPr>
              <w:t>Rahmen vorher vereinbaren</w:t>
            </w:r>
          </w:p>
        </w:tc>
        <w:tc>
          <w:tcPr>
            <w:tcW w:type="dxa" w:w="3213"/>
          </w:tcPr>
          <w:p>
            <w:pPr>
              <w:spacing w:after="0" w:before="0"/>
            </w:pPr>
            <w:r/>
            <w:r>
              <w:rPr>
                <w:b w:val="0"/>
                <w:i w:val="0"/>
                <w:color w:val="1A1A1A"/>
                <w:sz w:val="18"/>
              </w:rPr>
              <w:t>Zutritt, Ruhe für den Betrieb, Vertrauen des Personals</w:t>
            </w:r>
          </w:p>
        </w:tc>
        <w:tc>
          <w:tcPr>
            <w:tcW w:type="dxa" w:w="3213"/>
          </w:tcPr>
          <w:p>
            <w:pPr>
              <w:spacing w:after="0" w:before="0"/>
            </w:pPr>
            <w:r/>
            <w:r>
              <w:rPr>
                <w:b w:val="0"/>
                <w:i w:val="0"/>
                <w:color w:val="1A1A1A"/>
                <w:sz w:val="18"/>
              </w:rPr>
              <w:t>22 bis 3 Uhr; keine Gäste; Personal am Vortag unterrichtet</w:t>
            </w:r>
          </w:p>
        </w:tc>
      </w:tr>
      <w:tr>
        <w:trPr>
          <w:cantSplit w:val="true"/>
        </w:trPr>
        <w:tc>
          <w:tcPr>
            <w:tcW w:type="dxa" w:w="3213"/>
            <w:shd w:val="clear" w:color="auto" w:fill="F3EFE6"/>
          </w:tcPr>
          <w:p>
            <w:pPr>
              <w:spacing w:after="0" w:before="0"/>
            </w:pPr>
            <w:r/>
            <w:r>
              <w:rPr>
                <w:b w:val="0"/>
                <w:i w:val="0"/>
                <w:color w:val="1A1A1A"/>
                <w:sz w:val="18"/>
              </w:rPr>
              <w:t>Nicht eingreifen, außer bei Gefahr</w:t>
            </w:r>
          </w:p>
        </w:tc>
        <w:tc>
          <w:tcPr>
            <w:tcW w:type="dxa" w:w="3213"/>
            <w:shd w:val="clear" w:color="auto" w:fill="F3EFE6"/>
          </w:tcPr>
          <w:p>
            <w:pPr>
              <w:spacing w:after="0" w:before="0"/>
            </w:pPr>
            <w:r/>
            <w:r>
              <w:rPr>
                <w:b w:val="0"/>
                <w:i w:val="0"/>
                <w:color w:val="1A1A1A"/>
                <w:sz w:val="18"/>
              </w:rPr>
              <w:t>Korrektur ist Sache der Linie; Befund bleibt sichtbar</w:t>
            </w:r>
          </w:p>
        </w:tc>
        <w:tc>
          <w:tcPr>
            <w:tcW w:type="dxa" w:w="3213"/>
            <w:shd w:val="clear" w:color="auto" w:fill="F3EFE6"/>
          </w:tcPr>
          <w:p>
            <w:pPr>
              <w:spacing w:after="0" w:before="0"/>
            </w:pPr>
            <w:r/>
            <w:r>
              <w:rPr>
                <w:b w:val="0"/>
                <w:i w:val="0"/>
                <w:color w:val="1A1A1A"/>
                <w:sz w:val="18"/>
              </w:rPr>
              <w:t>einziger Eingriff: Fluchttür um 0.50 Uhr, notiert</w:t>
            </w:r>
          </w:p>
        </w:tc>
      </w:tr>
      <w:tr>
        <w:trPr>
          <w:cantSplit w:val="true"/>
        </w:trPr>
        <w:tc>
          <w:tcPr>
            <w:tcW w:type="dxa" w:w="3213"/>
          </w:tcPr>
          <w:p>
            <w:pPr>
              <w:spacing w:after="0" w:before="0"/>
            </w:pPr>
            <w:r/>
            <w:r>
              <w:rPr>
                <w:b w:val="0"/>
                <w:i w:val="0"/>
                <w:color w:val="1A1A1A"/>
                <w:sz w:val="18"/>
              </w:rPr>
              <w:t>Notiz sofort, mit Uhrzeit und Ort</w:t>
            </w:r>
          </w:p>
        </w:tc>
        <w:tc>
          <w:tcPr>
            <w:tcW w:type="dxa" w:w="3213"/>
          </w:tcPr>
          <w:p>
            <w:pPr>
              <w:spacing w:after="0" w:before="0"/>
            </w:pPr>
            <w:r/>
            <w:r>
              <w:rPr>
                <w:b w:val="0"/>
                <w:i w:val="0"/>
                <w:color w:val="1A1A1A"/>
                <w:sz w:val="18"/>
              </w:rPr>
              <w:t>Ein Dritter kann sie nachvollziehen</w:t>
            </w:r>
          </w:p>
        </w:tc>
        <w:tc>
          <w:tcPr>
            <w:tcW w:type="dxa" w:w="3213"/>
          </w:tcPr>
          <w:p>
            <w:pPr>
              <w:spacing w:after="0" w:before="0"/>
            </w:pPr>
            <w:r/>
            <w:r>
              <w:rPr>
                <w:b w:val="0"/>
                <w:i w:val="0"/>
                <w:color w:val="1A1A1A"/>
                <w:sz w:val="18"/>
              </w:rPr>
              <w:t>vierundsechzig Notizen auf elf Seiten</w:t>
            </w:r>
          </w:p>
        </w:tc>
      </w:tr>
      <w:tr>
        <w:trPr>
          <w:cantSplit w:val="true"/>
        </w:trPr>
        <w:tc>
          <w:tcPr>
            <w:tcW w:type="dxa" w:w="3213"/>
            <w:shd w:val="clear" w:color="auto" w:fill="F3EFE6"/>
          </w:tcPr>
          <w:p>
            <w:pPr>
              <w:spacing w:after="0" w:before="0"/>
            </w:pPr>
            <w:r/>
            <w:r>
              <w:rPr>
                <w:b w:val="0"/>
                <w:i w:val="0"/>
                <w:color w:val="1A1A1A"/>
                <w:sz w:val="18"/>
              </w:rPr>
              <w:t>Kurze Gespräche in ruhigen Minuten</w:t>
            </w:r>
          </w:p>
        </w:tc>
        <w:tc>
          <w:tcPr>
            <w:tcW w:type="dxa" w:w="3213"/>
            <w:shd w:val="clear" w:color="auto" w:fill="F3EFE6"/>
          </w:tcPr>
          <w:p>
            <w:pPr>
              <w:spacing w:after="0" w:before="0"/>
            </w:pPr>
            <w:r/>
            <w:r>
              <w:rPr>
                <w:b w:val="0"/>
                <w:i w:val="0"/>
                <w:color w:val="1A1A1A"/>
                <w:sz w:val="18"/>
              </w:rPr>
              <w:t>genaue Antworten, kein Störfaktor</w:t>
            </w:r>
          </w:p>
        </w:tc>
        <w:tc>
          <w:tcPr>
            <w:tcW w:type="dxa" w:w="3213"/>
            <w:shd w:val="clear" w:color="auto" w:fill="F3EFE6"/>
          </w:tcPr>
          <w:p>
            <w:pPr>
              <w:spacing w:after="0" w:before="0"/>
            </w:pPr>
            <w:r/>
            <w:r>
              <w:rPr>
                <w:b w:val="0"/>
                <w:i w:val="0"/>
                <w:color w:val="1A1A1A"/>
                <w:sz w:val="18"/>
              </w:rPr>
              <w:t>Garderobe um 1.10 Uhr, eine Minute</w:t>
            </w:r>
          </w:p>
        </w:tc>
      </w:tr>
      <w:tr>
        <w:trPr>
          <w:cantSplit w:val="true"/>
        </w:trPr>
        <w:tc>
          <w:tcPr>
            <w:tcW w:type="dxa" w:w="3213"/>
          </w:tcPr>
          <w:p>
            <w:pPr>
              <w:spacing w:after="0" w:before="0"/>
            </w:pPr>
            <w:r/>
            <w:r>
              <w:rPr>
                <w:b w:val="0"/>
                <w:i w:val="0"/>
                <w:color w:val="1A1A1A"/>
                <w:sz w:val="18"/>
              </w:rPr>
              <w:t>Dem Ablauf folgen, nicht den Räumen</w:t>
            </w:r>
          </w:p>
        </w:tc>
        <w:tc>
          <w:tcPr>
            <w:tcW w:type="dxa" w:w="3213"/>
          </w:tcPr>
          <w:p>
            <w:pPr>
              <w:spacing w:after="0" w:before="0"/>
            </w:pPr>
            <w:r/>
            <w:r>
              <w:rPr>
                <w:b w:val="0"/>
                <w:i w:val="0"/>
                <w:color w:val="1A1A1A"/>
                <w:sz w:val="18"/>
              </w:rPr>
              <w:t>Kriterien zeigen sich an den Spitzen</w:t>
            </w:r>
          </w:p>
        </w:tc>
        <w:tc>
          <w:tcPr>
            <w:tcW w:type="dxa" w:w="3213"/>
          </w:tcPr>
          <w:p>
            <w:pPr>
              <w:spacing w:after="0" w:before="0"/>
            </w:pPr>
            <w:r/>
            <w:r>
              <w:rPr>
                <w:b w:val="0"/>
                <w:i w:val="0"/>
                <w:color w:val="1A1A1A"/>
                <w:sz w:val="18"/>
              </w:rPr>
              <w:t>Spülküche 23.30, Hof 2.05, Küche 2.50 Uhr</w:t>
            </w:r>
          </w:p>
        </w:tc>
      </w:tr>
      <w:tr>
        <w:trPr>
          <w:cantSplit w:val="true"/>
        </w:trPr>
        <w:tc>
          <w:tcPr>
            <w:tcW w:type="dxa" w:w="3213"/>
            <w:shd w:val="clear" w:color="auto" w:fill="F3EFE6"/>
          </w:tcPr>
          <w:p>
            <w:pPr>
              <w:spacing w:after="0" w:before="0"/>
            </w:pPr>
            <w:r/>
            <w:r>
              <w:rPr>
                <w:b w:val="0"/>
                <w:i w:val="0"/>
                <w:color w:val="1A1A1A"/>
                <w:sz w:val="18"/>
              </w:rPr>
              <w:t>Die Grenze der Stichprobe nennen</w:t>
            </w:r>
          </w:p>
        </w:tc>
        <w:tc>
          <w:tcPr>
            <w:tcW w:type="dxa" w:w="3213"/>
            <w:shd w:val="clear" w:color="auto" w:fill="F3EFE6"/>
          </w:tcPr>
          <w:p>
            <w:pPr>
              <w:spacing w:after="0" w:before="0"/>
            </w:pPr>
            <w:r/>
            <w:r>
              <w:rPr>
                <w:b w:val="0"/>
                <w:i w:val="0"/>
                <w:color w:val="1A1A1A"/>
                <w:sz w:val="18"/>
              </w:rPr>
              <w:t>eine Nacht ist kein Jahr</w:t>
            </w:r>
          </w:p>
        </w:tc>
        <w:tc>
          <w:tcPr>
            <w:tcW w:type="dxa" w:w="3213"/>
            <w:shd w:val="clear" w:color="auto" w:fill="F3EFE6"/>
          </w:tcPr>
          <w:p>
            <w:pPr>
              <w:spacing w:after="0" w:before="0"/>
            </w:pPr>
            <w:r/>
            <w:r>
              <w:rPr>
                <w:b w:val="0"/>
                <w:i w:val="0"/>
                <w:color w:val="1A1A1A"/>
                <w:sz w:val="18"/>
              </w:rPr>
              <w:t>Bericht: «gilt für diesen Ball»</w:t>
            </w:r>
          </w:p>
        </w:tc>
      </w:tr>
    </w:tbl>
    <w:p>
      <w:pPr>
        <w:spacing w:after="40"/>
      </w:pPr>
    </w:p>
    <w:p>
      <w:pPr>
        <w:pStyle w:val="Heading2"/>
      </w:pPr>
      <w:r>
        <w:t>Praktische Anwendung: ein Audit während einer Veranstaltung in sieben Schritten</w:t>
      </w:r>
    </w:p>
    <w:p>
      <w:pPr>
        <w:tabs>
          <w:tab w:pos="340" w:val="left"/>
        </w:tabs>
        <w:ind w:left="340" w:hanging="340"/>
      </w:pPr>
      <w:r>
        <w:rPr>
          <w:b/>
          <w:color w:val="8C5A2B"/>
        </w:rPr>
        <w:t>1.</w:t>
        <w:tab/>
      </w:r>
      <w:r>
        <w:rPr>
          <w:b/>
        </w:rPr>
        <w:t>Die Veranstaltung nach Risiko wählen.</w:t>
      </w:r>
      <w:r>
        <w:t xml:space="preserve"> Viele Gäste, fremde Kräfte, ein Abbau in der Nacht, ein neuer Lieferant: Je mehr davon zusammenkommt, desto eher lohnt die Beobachtung. Die Wahl steht im Auditprogramm (3.3).</w:t>
      </w:r>
    </w:p>
    <w:p>
      <w:pPr>
        <w:tabs>
          <w:tab w:pos="340" w:val="left"/>
        </w:tabs>
        <w:ind w:left="340" w:hanging="340"/>
      </w:pPr>
      <w:r>
        <w:rPr>
          <w:b/>
          <w:color w:val="8C5A2B"/>
        </w:rPr>
        <w:t>2.</w:t>
        <w:tab/>
      </w:r>
      <w:r>
        <w:rPr>
          <w:b/>
        </w:rPr>
        <w:t>Den Rahmen mit der Leitung vereinbaren.</w:t>
      </w:r>
      <w:r>
        <w:t xml:space="preserve"> Zeitfenster, Räume, Zutritt, Ansprechpartner, keine Gespräche mit Gästen. Halten Sie schriftlich fest, wann Sie eingreifen: nur bei Gefahr für Menschen.</w:t>
      </w:r>
    </w:p>
    <w:p>
      <w:pPr>
        <w:tabs>
          <w:tab w:pos="340" w:val="left"/>
        </w:tabs>
        <w:ind w:left="340" w:hanging="340"/>
      </w:pPr>
      <w:r>
        <w:rPr>
          <w:b/>
          <w:color w:val="8C5A2B"/>
        </w:rPr>
        <w:t>3.</w:t>
        <w:tab/>
      </w:r>
      <w:r>
        <w:rPr>
          <w:b/>
        </w:rPr>
        <w:t>Die Kriterien aus den Arbeitspapieren mitnehmen.</w:t>
      </w:r>
      <w:r>
        <w:t xml:space="preserve"> Schreiben Sie die Zeilen aus Bankettformular, Spülplan und Ablaufplan ab, an denen Sie messen. Was dort nicht steht, wird höchstens eine Frage.</w:t>
      </w:r>
    </w:p>
    <w:p>
      <w:pPr>
        <w:tabs>
          <w:tab w:pos="340" w:val="left"/>
        </w:tabs>
        <w:ind w:left="340" w:hanging="340"/>
      </w:pPr>
      <w:r>
        <w:rPr>
          <w:b/>
          <w:color w:val="8C5A2B"/>
        </w:rPr>
        <w:t>4.</w:t>
        <w:tab/>
      </w:r>
      <w:r>
        <w:rPr>
          <w:b/>
        </w:rPr>
        <w:t>Dem Ablauf folgen.</w:t>
      </w:r>
      <w:r>
        <w:t xml:space="preserve"> Planen Sie Ihren Weg nach den Spitzen der Nacht: Einlass, Stunde vor Mitternacht, Rücklauf in der Spülküche, Abbau im Hof. Fragen Sie den Nachtportier, wo es um zwei Uhr eng wird.</w:t>
      </w:r>
    </w:p>
    <w:p>
      <w:pPr>
        <w:tabs>
          <w:tab w:pos="340" w:val="left"/>
        </w:tabs>
        <w:ind w:left="340" w:hanging="340"/>
      </w:pPr>
      <w:r>
        <w:rPr>
          <w:b/>
          <w:color w:val="8C5A2B"/>
        </w:rPr>
        <w:t>5.</w:t>
        <w:tab/>
      </w:r>
      <w:r>
        <w:rPr>
          <w:b/>
        </w:rPr>
        <w:t>Sofort und mit Uhrzeit notieren.</w:t>
      </w:r>
      <w:r>
        <w:t xml:space="preserve"> Minute, Ort, was Sie sehen, wer in welcher Funktion was sagt. Fotos von Dingen, nicht von Gesichtern.</w:t>
      </w:r>
    </w:p>
    <w:p>
      <w:pPr>
        <w:tabs>
          <w:tab w:pos="340" w:val="left"/>
        </w:tabs>
        <w:ind w:left="340" w:hanging="340"/>
      </w:pPr>
      <w:r>
        <w:rPr>
          <w:b/>
          <w:color w:val="8C5A2B"/>
        </w:rPr>
        <w:t>6.</w:t>
        <w:tab/>
      </w:r>
      <w:r>
        <w:rPr>
          <w:b/>
        </w:rPr>
        <w:t>Fragen statt anweisen.</w:t>
      </w:r>
      <w:r>
        <w:t xml:space="preserve"> Eine Frage wie «Wer entscheidet das heute Nacht?» ist erlaubt und oft der beste Nachweis. Greifen Sie bei Gefahr ein, dann schreiben Sie auch das auf.</w:t>
      </w:r>
    </w:p>
    <w:p>
      <w:pPr>
        <w:tabs>
          <w:tab w:pos="340" w:val="left"/>
        </w:tabs>
        <w:ind w:left="340" w:hanging="340"/>
      </w:pPr>
      <w:r>
        <w:rPr>
          <w:b/>
          <w:color w:val="8C5A2B"/>
        </w:rPr>
        <w:t>7.</w:t>
        <w:tab/>
      </w:r>
      <w:r>
        <w:rPr>
          <w:b/>
        </w:rPr>
        <w:t>Am nächsten Werktag besprechen.</w:t>
      </w:r>
      <w:r>
        <w:t xml:space="preserve"> Nicht um drei Uhr früh, nicht im Gang. Legen Sie Notiz und Kriterium nebeneinander und sagen Sie, wofür die Nacht spricht und wofür nicht.</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Veranstaltung nach Risiko wählen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Den Rahmen mit der Leitung vereinbaren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Kriterien aus den Arbeitspapieren mitnehmen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Dem Ablauf folgen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Sofort und mit Uhrzeit notieren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Fragen statt anweisen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Am nächsten Werktag besprechen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Hat unser Auditprogramm mindestens eine Veranstaltung, die während des Festes beobachtet wird?</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vorher schriftlich vereinbart, wann der Auditor eingreift?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Prüft der Auditor keinen Bereich, für den er selbst arbeitet?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Weiß das Personal einschließlich der Agenturkräfte, dass ein Audit läuft und was es prüft?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Führt der Weg des Auditors durch Spülküche, Garderobe und Hof, nicht nur durch die Säle?</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jede Notiz Uhrzeit und Ort?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der Auditor auch nach Ende der Leitungsdienste noch im Haus?</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Gehen die Befunde der Nacht in die Lehrennotiz der Veranstaltung ein?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Am Montag prüfen, was am Samstag geschah.</w:t>
      </w:r>
      <w:r>
        <w:t xml:space="preserve"> Die Papiere zeigen den Plan und die Abrechnung, nicht die Nacht.</w:t>
      </w:r>
    </w:p>
    <w:p>
      <w:pPr>
        <w:tabs>
          <w:tab w:pos="340" w:val="left"/>
        </w:tabs>
        <w:ind w:left="340" w:hanging="340"/>
      </w:pPr>
      <w:r>
        <w:rPr>
          <w:color w:val="8C5A2B"/>
        </w:rPr>
        <w:t>–</w:t>
        <w:tab/>
      </w:r>
      <w:r>
        <w:rPr>
          <w:b/>
        </w:rPr>
        <w:t>Den Abteilungsleiter prüfen lassen.</w:t>
      </w:r>
      <w:r>
        <w:t xml:space="preserve"> Er führt das Fest und sieht die eigene Arbeit nicht von außen.</w:t>
      </w:r>
    </w:p>
    <w:p>
      <w:pPr>
        <w:tabs>
          <w:tab w:pos="340" w:val="left"/>
        </w:tabs>
        <w:ind w:left="340" w:hanging="340"/>
      </w:pPr>
      <w:r>
        <w:rPr>
          <w:color w:val="8C5A2B"/>
        </w:rPr>
        <w:t>–</w:t>
        <w:tab/>
      </w:r>
      <w:r>
        <w:rPr>
          <w:b/>
        </w:rPr>
        <w:t>Eingreifen, weil es eilt.</w:t>
      </w:r>
      <w:r>
        <w:t xml:space="preserve"> Der Befund verschwindet, und der Auditor prüft später seine eigene Anweisung.</w:t>
      </w:r>
    </w:p>
    <w:p>
      <w:pPr>
        <w:tabs>
          <w:tab w:pos="340" w:val="left"/>
        </w:tabs>
        <w:ind w:left="340" w:hanging="340"/>
      </w:pPr>
      <w:r>
        <w:rPr>
          <w:color w:val="8C5A2B"/>
        </w:rPr>
        <w:t>–</w:t>
        <w:tab/>
      </w:r>
      <w:r>
        <w:rPr>
          <w:b/>
        </w:rPr>
        <w:t>Ohne Uhrzeit notieren.</w:t>
      </w:r>
      <w:r>
        <w:t xml:space="preserve"> Ein Eindruck lässt sich bestreiten, eine Minute nicht.</w:t>
      </w:r>
    </w:p>
    <w:p>
      <w:pPr>
        <w:tabs>
          <w:tab w:pos="340" w:val="left"/>
        </w:tabs>
        <w:ind w:left="340" w:hanging="340"/>
      </w:pPr>
      <w:r>
        <w:rPr>
          <w:color w:val="8C5A2B"/>
        </w:rPr>
        <w:t>–</w:t>
        <w:tab/>
      </w:r>
      <w:r>
        <w:rPr>
          <w:b/>
        </w:rPr>
        <w:t>Nur die Säle abgehen.</w:t>
      </w:r>
      <w:r>
        <w:t xml:space="preserve"> Kriterien werden hinter der Schwingtür eingelöst.</w:t>
      </w:r>
    </w:p>
    <w:p>
      <w:pPr>
        <w:tabs>
          <w:tab w:pos="340" w:val="left"/>
        </w:tabs>
        <w:ind w:left="340" w:hanging="340"/>
      </w:pPr>
      <w:r>
        <w:rPr>
          <w:color w:val="8C5A2B"/>
        </w:rPr>
        <w:t>–</w:t>
        <w:tab/>
      </w:r>
      <w:r>
        <w:rPr>
          <w:b/>
        </w:rPr>
        <w:t>Eine Nacht für die Saison nehmen.</w:t>
      </w:r>
      <w:r>
        <w:t xml:space="preserve"> Sie zeigt, was der Ablauf zulässt, nicht, wie oft es geschieht.</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Vorbereitung: Kriterien, Rahmen, Wegplan</w:t>
            </w:r>
          </w:p>
        </w:tc>
        <w:tc>
          <w:tcPr>
            <w:tcW w:type="dxa" w:w="1474"/>
          </w:tcPr>
          <w:p>
            <w:pPr>
              <w:spacing w:after="0" w:before="0"/>
            </w:pPr>
            <w:r/>
            <w:r>
              <w:rPr>
                <w:b w:val="0"/>
                <w:i w:val="0"/>
                <w:color w:val="1A1A1A"/>
                <w:sz w:val="18"/>
              </w:rPr>
              <w:t>3 Stunden</w:t>
            </w:r>
          </w:p>
        </w:tc>
        <w:tc>
          <w:tcPr>
            <w:tcW w:type="dxa" w:w="3175"/>
          </w:tcPr>
          <w:p>
            <w:pPr>
              <w:spacing w:after="0" w:before="0"/>
            </w:pPr>
            <w:r/>
            <w:r>
              <w:rPr>
                <w:b w:val="0"/>
                <w:i w:val="0"/>
                <w:color w:val="1A1A1A"/>
                <w:sz w:val="18"/>
              </w:rPr>
              <w:t>Auditorin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Beobachtung von 22 bis 3 Uhr</w:t>
            </w:r>
          </w:p>
        </w:tc>
        <w:tc>
          <w:tcPr>
            <w:tcW w:type="dxa" w:w="1474"/>
            <w:shd w:val="clear" w:color="auto" w:fill="F3EFE6"/>
          </w:tcPr>
          <w:p>
            <w:pPr>
              <w:spacing w:after="0" w:before="0"/>
            </w:pPr>
            <w:r/>
            <w:r>
              <w:rPr>
                <w:b w:val="0"/>
                <w:i w:val="0"/>
                <w:color w:val="1A1A1A"/>
                <w:sz w:val="18"/>
              </w:rPr>
              <w:t>5 Stunden</w:t>
            </w:r>
          </w:p>
        </w:tc>
        <w:tc>
          <w:tcPr>
            <w:tcW w:type="dxa" w:w="3175"/>
            <w:shd w:val="clear" w:color="auto" w:fill="F3EFE6"/>
          </w:tcPr>
          <w:p>
            <w:pPr>
              <w:spacing w:after="0" w:before="0"/>
            </w:pPr>
            <w:r/>
            <w:r>
              <w:rPr>
                <w:b w:val="0"/>
                <w:i w:val="0"/>
                <w:color w:val="1A1A1A"/>
                <w:sz w:val="18"/>
              </w:rPr>
              <w:t>Auditorin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Auswertung und Bericht</w:t>
            </w:r>
          </w:p>
        </w:tc>
        <w:tc>
          <w:tcPr>
            <w:tcW w:type="dxa" w:w="1474"/>
          </w:tcPr>
          <w:p>
            <w:pPr>
              <w:spacing w:after="0" w:before="0"/>
            </w:pPr>
            <w:r/>
            <w:r>
              <w:rPr>
                <w:b w:val="0"/>
                <w:i w:val="0"/>
                <w:color w:val="1A1A1A"/>
                <w:sz w:val="18"/>
              </w:rPr>
              <w:t>4 Stunden</w:t>
            </w:r>
          </w:p>
        </w:tc>
        <w:tc>
          <w:tcPr>
            <w:tcW w:type="dxa" w:w="3175"/>
          </w:tcPr>
          <w:p>
            <w:pPr>
              <w:spacing w:after="0" w:before="0"/>
            </w:pPr>
            <w:r/>
            <w:r>
              <w:rPr>
                <w:b w:val="0"/>
                <w:i w:val="0"/>
                <w:color w:val="1A1A1A"/>
                <w:sz w:val="18"/>
              </w:rPr>
              <w:t>Auditorin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Interne Stunden: 12 zu € 46</w:t>
            </w:r>
          </w:p>
        </w:tc>
        <w:tc>
          <w:tcPr>
            <w:tcW w:type="dxa" w:w="1474"/>
            <w:shd w:val="clear" w:color="auto" w:fill="F3EFE6"/>
          </w:tcPr>
          <w:p>
            <w:pPr>
              <w:spacing w:after="0" w:before="0"/>
            </w:pPr>
            <w:r/>
            <w:r>
              <w:rPr>
                <w:b w:val="0"/>
                <w:i w:val="0"/>
                <w:color w:val="1A1A1A"/>
                <w:sz w:val="18"/>
              </w:rPr>
              <w:t>€ 552</w:t>
            </w:r>
          </w:p>
        </w:tc>
        <w:tc>
          <w:tcPr>
            <w:tcW w:type="dxa" w:w="3175"/>
            <w:shd w:val="clear" w:color="auto" w:fill="F3EFE6"/>
          </w:tcPr>
          <w:p>
            <w:pPr>
              <w:spacing w:after="0" w:before="0"/>
            </w:pPr>
            <w:r/>
            <w:r>
              <w:rPr>
                <w:b w:val="0"/>
                <w:i w:val="0"/>
                <w:color w:val="1A1A1A"/>
                <w:sz w:val="18"/>
              </w:rPr>
              <w:t>ohne Nachtzuschlag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Gulasch aus Überproduktion: 90 Portionen zu € 2,40 Wareneinsatz</w:t>
            </w:r>
          </w:p>
        </w:tc>
        <w:tc>
          <w:tcPr>
            <w:tcW w:type="dxa" w:w="1474"/>
          </w:tcPr>
          <w:p>
            <w:pPr>
              <w:spacing w:after="0" w:before="0"/>
            </w:pPr>
            <w:r/>
            <w:r>
              <w:rPr>
                <w:b w:val="0"/>
                <w:i w:val="0"/>
                <w:color w:val="1A1A1A"/>
                <w:sz w:val="18"/>
              </w:rPr>
              <w:t>€ 216</w:t>
            </w:r>
          </w:p>
        </w:tc>
        <w:tc>
          <w:tcPr>
            <w:tcW w:type="dxa" w:w="3175"/>
          </w:tcPr>
          <w:p>
            <w:pPr>
              <w:spacing w:after="0" w:before="0"/>
            </w:pPr>
            <w:r/>
            <w:r>
              <w:rPr>
                <w:b w:val="0"/>
                <w:i w:val="0"/>
                <w:color w:val="1A1A1A"/>
                <w:sz w:val="18"/>
              </w:rPr>
              <w:t>je Ball; bei acht Bällen € 1.728 in der Saison</w:t>
            </w:r>
          </w:p>
        </w:tc>
        <w:tc>
          <w:tcPr>
            <w:tcW w:type="dxa" w:w="1814"/>
          </w:tcPr>
          <w:p>
            <w:pPr>
              <w:spacing w:after="0" w:before="0"/>
            </w:pPr>
            <w:r/>
            <w:r>
              <w:rPr>
                <w:b w:val="0"/>
                <w:i w:val="0"/>
                <w:color w:val="1A1A1A"/>
                <w:sz w:val="18"/>
              </w:rPr>
            </w:r>
          </w:p>
        </w:tc>
      </w:tr>
    </w:tbl>
    <w:p>
      <w:pPr>
        <w:spacing w:after="40"/>
      </w:pPr>
    </w:p>
    <w:p>
      <w:r>
        <w:rPr>
          <w:b w:val="0"/>
          <w:i w:val="0"/>
        </w:rPr>
        <w:t>Die Rechnung vergleicht keine Gewinne. Der Wareneinsatz ist ausgegebenes Geld, die Stunden der Auditorin sind Arbeitszeit, die anderswo fehlt. Die zwölf Stunden stehen neben zwei Befunden, die in keiner Lehrennotiz vorkamen und sich in jeder Ballnacht wiederholt hätten.</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Interne Audits prüfen auch, ob das System wirksam verwirklicht ist (9.2.1 b)</w:t>
            </w:r>
          </w:p>
        </w:tc>
        <w:tc>
          <w:tcPr>
            <w:tcW w:type="dxa" w:w="3175"/>
          </w:tcPr>
          <w:p>
            <w:pPr>
              <w:spacing w:after="0" w:before="0"/>
            </w:pPr>
            <w:r/>
            <w:r>
              <w:rPr>
                <w:b w:val="0"/>
                <w:i w:val="0"/>
                <w:color w:val="1A1A1A"/>
                <w:sz w:val="18"/>
              </w:rPr>
              <w:t>Notizen der Ballnacht mit Uhrzeit und Ort</w:t>
            </w:r>
          </w:p>
        </w:tc>
        <w:tc>
          <w:tcPr>
            <w:tcW w:type="dxa" w:w="3175"/>
          </w:tcPr>
          <w:p>
            <w:pPr>
              <w:spacing w:after="0" w:before="0"/>
            </w:pPr>
            <w:r/>
            <w:r>
              <w:rPr>
                <w:b w:val="0"/>
                <w:i w:val="0"/>
                <w:color w:val="1A1A1A"/>
                <w:sz w:val="18"/>
              </w:rPr>
              <w:t>Methode: Audit während einer Veranstaltung, nach Risiko gewählt</w:t>
            </w:r>
          </w:p>
        </w:tc>
      </w:tr>
      <w:tr>
        <w:trPr>
          <w:cantSplit w:val="true"/>
        </w:trPr>
        <w:tc>
          <w:tcPr>
            <w:tcW w:type="dxa" w:w="3288"/>
            <w:shd w:val="clear" w:color="auto" w:fill="F3EFE6"/>
          </w:tcPr>
          <w:p>
            <w:pPr>
              <w:spacing w:after="0" w:before="0"/>
            </w:pPr>
            <w:r/>
            <w:r>
              <w:rPr>
                <w:b w:val="0"/>
                <w:i w:val="0"/>
                <w:color w:val="1A1A1A"/>
                <w:sz w:val="18"/>
              </w:rPr>
              <w:t>Programm; Ziele, Kriterien und Umfang je Audit (9.2.2)</w:t>
            </w:r>
          </w:p>
        </w:tc>
        <w:tc>
          <w:tcPr>
            <w:tcW w:type="dxa" w:w="3175"/>
            <w:shd w:val="clear" w:color="auto" w:fill="F3EFE6"/>
          </w:tcPr>
          <w:p>
            <w:pPr>
              <w:spacing w:after="0" w:before="0"/>
            </w:pPr>
            <w:r/>
            <w:r>
              <w:rPr>
                <w:b w:val="0"/>
                <w:i w:val="0"/>
                <w:color w:val="1A1A1A"/>
                <w:sz w:val="18"/>
              </w:rPr>
              <w:t>Auditplan: 22 bis 3 Uhr, Orte, sieben Kriterien aus dem Bankettformular</w:t>
            </w:r>
          </w:p>
        </w:tc>
        <w:tc>
          <w:tcPr>
            <w:tcW w:type="dxa" w:w="3175"/>
            <w:shd w:val="clear" w:color="auto" w:fill="F3EFE6"/>
          </w:tcPr>
          <w:p>
            <w:pPr>
              <w:spacing w:after="0" w:before="0"/>
            </w:pPr>
            <w:r/>
            <w:r>
              <w:rPr>
                <w:b w:val="0"/>
                <w:i w:val="0"/>
                <w:color w:val="1A1A1A"/>
                <w:sz w:val="18"/>
              </w:rPr>
              <w:t>ISO 19011:2026: risikobasierter Ansatz</w:t>
            </w:r>
          </w:p>
        </w:tc>
      </w:tr>
      <w:tr>
        <w:trPr>
          <w:cantSplit w:val="true"/>
        </w:trPr>
        <w:tc>
          <w:tcPr>
            <w:tcW w:type="dxa" w:w="3288"/>
          </w:tcPr>
          <w:p>
            <w:pPr>
              <w:spacing w:after="0" w:before="0"/>
            </w:pPr>
            <w:r/>
            <w:r>
              <w:rPr>
                <w:b w:val="0"/>
                <w:i w:val="0"/>
                <w:color w:val="1A1A1A"/>
                <w:sz w:val="18"/>
              </w:rPr>
              <w:t>Objektivität und Unparteilichkeit (9.2.2)</w:t>
            </w:r>
          </w:p>
        </w:tc>
        <w:tc>
          <w:tcPr>
            <w:tcW w:type="dxa" w:w="3175"/>
          </w:tcPr>
          <w:p>
            <w:pPr>
              <w:spacing w:after="0" w:before="0"/>
            </w:pPr>
            <w:r/>
            <w:r>
              <w:rPr>
                <w:b w:val="0"/>
                <w:i w:val="0"/>
                <w:color w:val="1A1A1A"/>
                <w:sz w:val="18"/>
              </w:rPr>
              <w:t>Kreuzaudit; Satz zum Zimmerkontingent im Auditplan</w:t>
            </w:r>
          </w:p>
        </w:tc>
        <w:tc>
          <w:tcPr>
            <w:tcW w:type="dxa" w:w="3175"/>
          </w:tcPr>
          <w:p>
            <w:pPr>
              <w:spacing w:after="0" w:before="0"/>
            </w:pPr>
            <w:r/>
            <w:r>
              <w:rPr>
                <w:b w:val="0"/>
                <w:i w:val="0"/>
                <w:color w:val="1A1A1A"/>
                <w:sz w:val="18"/>
              </w:rPr>
              <w:t>A.21: nicht die eigene Arbeit; Methode: kein Eingriff außer bei Gefahr</w:t>
            </w:r>
          </w:p>
        </w:tc>
      </w:tr>
      <w:tr>
        <w:trPr>
          <w:cantSplit w:val="true"/>
        </w:trPr>
        <w:tc>
          <w:tcPr>
            <w:tcW w:type="dxa" w:w="3288"/>
            <w:shd w:val="clear" w:color="auto" w:fill="F3EFE6"/>
          </w:tcPr>
          <w:p>
            <w:pPr>
              <w:spacing w:after="0" w:before="0"/>
            </w:pPr>
            <w:r/>
            <w:r>
              <w:rPr>
                <w:b w:val="0"/>
                <w:i w:val="0"/>
                <w:color w:val="1A1A1A"/>
                <w:sz w:val="18"/>
              </w:rPr>
              <w:t>Prozesse nach Kriterien steuern, auch extern bereitgestellte (8.1)</w:t>
            </w:r>
          </w:p>
        </w:tc>
        <w:tc>
          <w:tcPr>
            <w:tcW w:type="dxa" w:w="3175"/>
            <w:shd w:val="clear" w:color="auto" w:fill="F3EFE6"/>
          </w:tcPr>
          <w:p>
            <w:pPr>
              <w:spacing w:after="0" w:before="0"/>
            </w:pPr>
            <w:r/>
            <w:r>
              <w:rPr>
                <w:b w:val="0"/>
                <w:i w:val="0"/>
                <w:color w:val="1A1A1A"/>
                <w:sz w:val="18"/>
              </w:rPr>
              <w:t>Bankettformular; Einweisungskarten der Agentur</w:t>
            </w:r>
          </w:p>
        </w:tc>
        <w:tc>
          <w:tcPr>
            <w:tcW w:type="dxa" w:w="3175"/>
            <w:shd w:val="clear" w:color="auto" w:fill="F3EFE6"/>
          </w:tcPr>
          <w:p>
            <w:pPr>
              <w:spacing w:after="0" w:before="0"/>
            </w:pPr>
            <w:r/>
            <w:r>
              <w:rPr>
                <w:b w:val="0"/>
                <w:i w:val="0"/>
                <w:color w:val="1A1A1A"/>
                <w:sz w:val="18"/>
              </w:rPr>
              <w:t>Methode: Kriterien als Maßstab der Beobachtung</w:t>
            </w:r>
          </w:p>
        </w:tc>
      </w:tr>
      <w:tr>
        <w:trPr>
          <w:cantSplit w:val="true"/>
        </w:trPr>
        <w:tc>
          <w:tcPr>
            <w:tcW w:type="dxa" w:w="3288"/>
          </w:tcPr>
          <w:p>
            <w:pPr>
              <w:spacing w:after="0" w:before="0"/>
            </w:pPr>
            <w:r/>
            <w:r>
              <w:rPr>
                <w:b w:val="0"/>
                <w:i w:val="0"/>
                <w:color w:val="1A1A1A"/>
                <w:sz w:val="18"/>
              </w:rPr>
              <w:t>Lehren aus jeder Veranstaltung ermitteln und einspeisen (9.1 c)</w:t>
            </w:r>
          </w:p>
        </w:tc>
        <w:tc>
          <w:tcPr>
            <w:tcW w:type="dxa" w:w="3175"/>
          </w:tcPr>
          <w:p>
            <w:pPr>
              <w:spacing w:after="0" w:before="0"/>
            </w:pPr>
            <w:r/>
            <w:r>
              <w:rPr>
                <w:b w:val="0"/>
                <w:i w:val="0"/>
                <w:color w:val="1A1A1A"/>
                <w:sz w:val="18"/>
              </w:rPr>
              <w:t>Lehrennotiz des Balls, um die Nacht ergänzt</w:t>
            </w:r>
          </w:p>
        </w:tc>
        <w:tc>
          <w:tcPr>
            <w:tcW w:type="dxa" w:w="3175"/>
          </w:tcPr>
          <w:p>
            <w:pPr>
              <w:spacing w:after="0" w:before="0"/>
            </w:pPr>
            <w:r/>
            <w:r>
              <w:rPr>
                <w:b w:val="0"/>
                <w:i w:val="0"/>
                <w:color w:val="1A1A1A"/>
                <w:sz w:val="18"/>
              </w:rPr>
              <w:t>Methode: Blatt des Nachtportiers als Quelle</w:t>
            </w:r>
          </w:p>
        </w:tc>
      </w:tr>
      <w:tr>
        <w:trPr>
          <w:cantSplit w:val="true"/>
        </w:trPr>
        <w:tc>
          <w:tcPr>
            <w:tcW w:type="dxa" w:w="3288"/>
            <w:shd w:val="clear" w:color="auto" w:fill="F3EFE6"/>
          </w:tcPr>
          <w:p>
            <w:pPr>
              <w:spacing w:after="0" w:before="0"/>
            </w:pPr>
            <w:r/>
            <w:r>
              <w:rPr>
                <w:b w:val="0"/>
                <w:i w:val="0"/>
                <w:color w:val="1A1A1A"/>
                <w:sz w:val="18"/>
              </w:rPr>
              <w:t>Ergebnisse an die zuständige Leitung (9.2.2)</w:t>
            </w:r>
          </w:p>
        </w:tc>
        <w:tc>
          <w:tcPr>
            <w:tcW w:type="dxa" w:w="3175"/>
            <w:shd w:val="clear" w:color="auto" w:fill="F3EFE6"/>
          </w:tcPr>
          <w:p>
            <w:pPr>
              <w:spacing w:after="0" w:before="0"/>
            </w:pPr>
            <w:r/>
            <w:r>
              <w:rPr>
                <w:b w:val="0"/>
                <w:i w:val="0"/>
                <w:color w:val="1A1A1A"/>
                <w:sz w:val="18"/>
              </w:rPr>
              <w:t>Bericht an die Direktion binnen einer Woche</w:t>
            </w:r>
          </w:p>
        </w:tc>
        <w:tc>
          <w:tcPr>
            <w:tcW w:type="dxa" w:w="3175"/>
            <w:shd w:val="clear" w:color="auto" w:fill="F3EFE6"/>
          </w:tcPr>
          <w:p>
            <w:pPr>
              <w:spacing w:after="0" w:before="0"/>
            </w:pPr>
            <w:r/>
            <w:r>
              <w:rPr>
                <w:b w:val="0"/>
                <w:i w:val="0"/>
                <w:color w:val="1A1A1A"/>
                <w:sz w:val="18"/>
              </w:rPr>
              <w:t>ISO 19011:2026: sachliche Darstellung</w:t>
            </w:r>
          </w:p>
        </w:tc>
      </w:tr>
    </w:tbl>
    <w:p>
      <w:pPr>
        <w:spacing w:after="40"/>
      </w:pPr>
    </w:p>
    <w:p>
      <w:pPr>
        <w:pStyle w:val="Heading2"/>
      </w:pPr>
      <w:r>
        <w:t>DACH-Anker: beobachten, fotografieren, befragen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Fotos während der Beobachtung</w:t>
            </w:r>
          </w:p>
        </w:tc>
        <w:tc>
          <w:tcPr>
            <w:tcW w:type="dxa" w:w="2721"/>
          </w:tcPr>
          <w:p>
            <w:pPr>
              <w:spacing w:after="0" w:before="0"/>
            </w:pPr>
            <w:r/>
            <w:r>
              <w:rPr>
                <w:b w:val="0"/>
                <w:i w:val="0"/>
                <w:color w:val="1A1A1A"/>
                <w:sz w:val="17"/>
              </w:rPr>
              <w:t>DSGVO, wenn Personen erkennbar sind</w:t>
            </w:r>
          </w:p>
        </w:tc>
        <w:tc>
          <w:tcPr>
            <w:tcW w:type="dxa" w:w="2721"/>
          </w:tcPr>
          <w:p>
            <w:pPr>
              <w:spacing w:after="0" w:before="0"/>
            </w:pPr>
            <w:r/>
            <w:r>
              <w:rPr>
                <w:b w:val="0"/>
                <w:i w:val="0"/>
                <w:color w:val="1A1A1A"/>
                <w:sz w:val="17"/>
              </w:rPr>
              <w:t>DSGVO, wenn Personen erkennbar sind</w:t>
            </w:r>
          </w:p>
        </w:tc>
        <w:tc>
          <w:tcPr>
            <w:tcW w:type="dxa" w:w="2721"/>
          </w:tcPr>
          <w:p>
            <w:pPr>
              <w:spacing w:after="0" w:before="0"/>
            </w:pPr>
            <w:r/>
            <w:r>
              <w:rPr>
                <w:b w:val="0"/>
                <w:i w:val="0"/>
                <w:color w:val="1A1A1A"/>
                <w:sz w:val="17"/>
              </w:rPr>
              <w:t>Datenschutzgesetz</w:t>
            </w:r>
          </w:p>
        </w:tc>
      </w:tr>
      <w:tr>
        <w:trPr>
          <w:cantSplit w:val="true"/>
        </w:trPr>
        <w:tc>
          <w:tcPr>
            <w:tcW w:type="dxa" w:w="1474"/>
            <w:shd w:val="clear" w:color="auto" w:fill="F3EFE6"/>
          </w:tcPr>
          <w:p>
            <w:pPr>
              <w:spacing w:after="0" w:before="0"/>
            </w:pPr>
            <w:r/>
            <w:r>
              <w:rPr>
                <w:b w:val="0"/>
                <w:i w:val="0"/>
                <w:color w:val="1A1A1A"/>
                <w:sz w:val="17"/>
              </w:rPr>
              <w:t>Unterweisung überlassener Kräfte</w:t>
            </w:r>
          </w:p>
        </w:tc>
        <w:tc>
          <w:tcPr>
            <w:tcW w:type="dxa" w:w="2721"/>
            <w:shd w:val="clear" w:color="auto" w:fill="F3EFE6"/>
          </w:tcPr>
          <w:p>
            <w:pPr>
              <w:spacing w:after="0" w:before="0"/>
            </w:pPr>
            <w:r/>
            <w:r>
              <w:rPr>
                <w:b w:val="0"/>
                <w:i w:val="0"/>
                <w:color w:val="1A1A1A"/>
                <w:sz w:val="17"/>
              </w:rPr>
              <w:t>trifft den Entleiher (§ 12 ArbSchG; Band 8a, 2.12)</w:t>
            </w:r>
          </w:p>
        </w:tc>
        <w:tc>
          <w:tcPr>
            <w:tcW w:type="dxa" w:w="2721"/>
            <w:shd w:val="clear" w:color="auto" w:fill="F3EFE6"/>
          </w:tcPr>
          <w:p>
            <w:pPr>
              <w:spacing w:after="0" w:before="0"/>
            </w:pPr>
            <w:r/>
            <w:r>
              <w:rPr>
                <w:b w:val="0"/>
                <w:i w:val="0"/>
                <w:color w:val="1A1A1A"/>
                <w:sz w:val="17"/>
              </w:rPr>
              <w:t>vor Aufnahme der Tätigkeit, nachweislich, verständlich (§ 14 ASchG; Band 8a, 2.12)</w:t>
            </w:r>
          </w:p>
        </w:tc>
        <w:tc>
          <w:tcPr>
            <w:tcW w:type="dxa" w:w="2721"/>
            <w:shd w:val="clear" w:color="auto" w:fill="F3EFE6"/>
          </w:tcPr>
          <w:p>
            <w:pPr>
              <w:spacing w:after="0" w:before="0"/>
            </w:pPr>
            <w:r/>
            <w:r>
              <w:rPr>
                <w:b w:val="0"/>
                <w:i w:val="0"/>
                <w:color w:val="1A1A1A"/>
                <w:sz w:val="17"/>
              </w:rPr>
              <w:t>auch für Arbeitnehmer anderer Betriebe (Art. 6 VUV; Band 8a, 2.12)</w:t>
            </w:r>
          </w:p>
        </w:tc>
      </w:tr>
      <w:tr>
        <w:trPr>
          <w:cantSplit w:val="true"/>
        </w:trPr>
        <w:tc>
          <w:tcPr>
            <w:tcW w:type="dxa" w:w="1474"/>
          </w:tcPr>
          <w:p>
            <w:pPr>
              <w:spacing w:after="0" w:before="0"/>
            </w:pPr>
            <w:r/>
            <w:r>
              <w:rPr>
                <w:b w:val="0"/>
                <w:i w:val="0"/>
                <w:color w:val="1A1A1A"/>
                <w:sz w:val="17"/>
              </w:rPr>
              <w:t>Arbeitszeit in der Ballnacht</w:t>
            </w:r>
          </w:p>
        </w:tc>
        <w:tc>
          <w:tcPr>
            <w:tcW w:type="dxa" w:w="2721"/>
          </w:tcPr>
          <w:p>
            <w:pPr>
              <w:spacing w:after="0" w:before="0"/>
            </w:pPr>
            <w:r/>
            <w:r>
              <w:rPr>
                <w:b w:val="0"/>
                <w:i w:val="0"/>
                <w:color w:val="1A1A1A"/>
                <w:sz w:val="17"/>
              </w:rPr>
              <w:t>Arbeitszeit- und Tarifrecht</w:t>
            </w:r>
          </w:p>
        </w:tc>
        <w:tc>
          <w:tcPr>
            <w:tcW w:type="dxa" w:w="2721"/>
          </w:tcPr>
          <w:p>
            <w:pPr>
              <w:spacing w:after="0" w:before="0"/>
            </w:pPr>
            <w:r/>
            <w:r>
              <w:rPr>
                <w:b w:val="0"/>
                <w:i w:val="0"/>
                <w:color w:val="1A1A1A"/>
                <w:sz w:val="17"/>
              </w:rPr>
              <w:t>Ruhezeit in Küche und Service bei geteiltem Dienst auf acht Stunden verkürzbar, mit Ausgleich (§ 12 Abs. 2a AZG)</w:t>
            </w:r>
          </w:p>
        </w:tc>
        <w:tc>
          <w:tcPr>
            <w:tcW w:type="dxa" w:w="2721"/>
          </w:tcPr>
          <w:p>
            <w:pPr>
              <w:spacing w:after="0" w:before="0"/>
            </w:pPr>
            <w:r/>
            <w:r>
              <w:rPr>
                <w:b w:val="0"/>
                <w:i w:val="0"/>
                <w:color w:val="1A1A1A"/>
                <w:sz w:val="17"/>
              </w:rPr>
              <w:t>Sonderbestimmungen für Gastbetriebe (ArGV 2); Gesamtarbeitsvertrag des Gastgewerbes</w:t>
            </w:r>
          </w:p>
        </w:tc>
      </w:tr>
      <w:tr>
        <w:trPr>
          <w:cantSplit w:val="true"/>
        </w:trPr>
        <w:tc>
          <w:tcPr>
            <w:tcW w:type="dxa" w:w="1474"/>
            <w:shd w:val="clear" w:color="auto" w:fill="F3EFE6"/>
          </w:tcPr>
          <w:p>
            <w:pPr>
              <w:spacing w:after="0" w:before="0"/>
            </w:pPr>
            <w:r/>
            <w:r>
              <w:rPr>
                <w:b w:val="0"/>
                <w:i w:val="0"/>
                <w:color w:val="1A1A1A"/>
                <w:sz w:val="17"/>
              </w:rPr>
              <w:t>Aussagen über den Ball</w:t>
            </w:r>
          </w:p>
        </w:tc>
        <w:tc>
          <w:tcPr>
            <w:tcW w:type="dxa" w:w="2721"/>
            <w:shd w:val="clear" w:color="auto" w:fill="F3EFE6"/>
          </w:tcPr>
          <w:p>
            <w:pPr>
              <w:spacing w:after="0" w:before="0"/>
            </w:pPr>
            <w:r/>
            <w:r>
              <w:rPr>
                <w:b w:val="0"/>
                <w:i w:val="0"/>
                <w:color w:val="1A1A1A"/>
                <w:sz w:val="17"/>
              </w:rPr>
              <w:t>UWG, Regeln zu Umweltaussagen ab 27. September 2026, gegenüber Verbrauchern</w:t>
            </w:r>
          </w:p>
        </w:tc>
        <w:tc>
          <w:tcPr>
            <w:tcW w:type="dxa" w:w="2721"/>
            <w:shd w:val="clear" w:color="auto" w:fill="F3EFE6"/>
          </w:tcPr>
          <w:p>
            <w:pPr>
              <w:spacing w:after="0" w:before="0"/>
            </w:pPr>
            <w:r/>
            <w:r>
              <w:rPr>
                <w:b w:val="0"/>
                <w:i w:val="0"/>
                <w:color w:val="1A1A1A"/>
                <w:sz w:val="17"/>
              </w:rPr>
              <w:t>UWG-Novelle BGBl. I Nr. 58/2026, ab 27. September 2026, gegenüber Verbrauchern</w:t>
            </w:r>
          </w:p>
        </w:tc>
        <w:tc>
          <w:tcPr>
            <w:tcW w:type="dxa" w:w="2721"/>
            <w:shd w:val="clear" w:color="auto" w:fill="F3EFE6"/>
          </w:tcPr>
          <w:p>
            <w:pPr>
              <w:spacing w:after="0" w:before="0"/>
            </w:pPr>
            <w:r/>
            <w:r>
              <w:rPr>
                <w:b w:val="0"/>
                <w:i w:val="0"/>
                <w:color w:val="1A1A1A"/>
                <w:sz w:val="17"/>
              </w:rPr>
              <w:t>Klimaaussagen nur mit überprüfbaren Grundlagen (Art. 3 Abs. 1 lit. x UWG)</w:t>
            </w:r>
          </w:p>
        </w:tc>
      </w:tr>
      <w:tr>
        <w:trPr>
          <w:cantSplit w:val="true"/>
        </w:trPr>
        <w:tc>
          <w:tcPr>
            <w:tcW w:type="dxa" w:w="1474"/>
          </w:tcPr>
          <w:p>
            <w:pPr>
              <w:spacing w:after="0" w:before="0"/>
            </w:pPr>
            <w:r/>
            <w:r>
              <w:rPr>
                <w:b w:val="0"/>
                <w:i w:val="0"/>
                <w:color w:val="1A1A1A"/>
                <w:sz w:val="17"/>
              </w:rPr>
              <w:t>Staatliche Leitfäden und Zeichen für Veranstaltungen</w:t>
            </w:r>
          </w:p>
        </w:tc>
        <w:tc>
          <w:tcPr>
            <w:tcW w:type="dxa" w:w="2721"/>
          </w:tcPr>
          <w:p>
            <w:pPr>
              <w:spacing w:after="0" w:before="0"/>
            </w:pPr>
            <w:r/>
            <w:r>
              <w:rPr>
                <w:b w:val="0"/>
                <w:i w:val="0"/>
                <w:color w:val="1A1A1A"/>
                <w:sz w:val="17"/>
              </w:rPr>
              <w:t>Leitfaden des Bundesumweltministeriums und des Umweltbundesamts</w:t>
            </w:r>
          </w:p>
        </w:tc>
        <w:tc>
          <w:tcPr>
            <w:tcW w:type="dxa" w:w="2721"/>
          </w:tcPr>
          <w:p>
            <w:pPr>
              <w:spacing w:after="0" w:before="0"/>
            </w:pPr>
            <w:r/>
            <w:r>
              <w:rPr>
                <w:b w:val="0"/>
                <w:i w:val="0"/>
                <w:color w:val="1A1A1A"/>
                <w:sz w:val="17"/>
              </w:rPr>
              <w:t>UZ 62: R5.1 für Veranstaltungen bis 31. Dezember 2026, R6.0 ab 1. Jänner 2027</w:t>
            </w:r>
          </w:p>
        </w:tc>
        <w:tc>
          <w:tcPr>
            <w:tcW w:type="dxa" w:w="2721"/>
          </w:tcPr>
          <w:p>
            <w:pPr>
              <w:spacing w:after="0" w:before="0"/>
            </w:pPr>
            <w:r/>
            <w:r>
              <w:rPr>
                <w:b w:val="0"/>
                <w:i w:val="0"/>
                <w:color w:val="1A1A1A"/>
                <w:sz w:val="17"/>
              </w:rPr>
              <w:t>–</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3.7.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3.7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3.7 — Ein Audit während einer Veranstaltung</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