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3.8</w:t>
      </w:r>
    </w:p>
    <w:p>
      <w:pPr>
        <w:pStyle w:val="Heading1"/>
      </w:pPr>
      <w:r>
        <w:t>Das Audit nach der Veranstaltung</w:t>
      </w:r>
    </w:p>
    <w:p>
      <w:pPr>
        <w:spacing w:after="0"/>
      </w:pPr>
      <w:r>
        <w:rPr>
          <w:b w:val="0"/>
          <w:i/>
          <w:color w:val="5A5A5A"/>
        </w:rPr>
        <w:t>Abschnitt 3.8 · Das Audit nach der Veranstaltung: Abbau, Abfall, Abrechnung und Lehren</w:t>
      </w:r>
    </w:p>
    <w:p>
      <w:pPr>
        <w:spacing w:after="160"/>
      </w:pPr>
      <w:r>
        <w:rPr>
          <w:b w:val="0"/>
          <w:i w:val="0"/>
          <w:color w:val="5A5A5A"/>
          <w:sz w:val="18"/>
        </w:rPr>
        <w:t>Modellfall im Buch: Lübeck</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die Wiegeliste Ihres letzten Festes neben die Rechnung des Entsorgers und neben die Rechnung der Personalagentur legen: Erzählen alle drei dieselbe Nacht? Und wann wurde in Ihrem Haus die Lehre aus diesem Fest aufgeschrieben, vor dem Abbau oder danach?</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Fünf Belegpaare und was sie prüfen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Belegpaar</w:t>
            </w:r>
          </w:p>
        </w:tc>
        <w:tc>
          <w:tcPr>
            <w:tcW w:type="dxa" w:w="3213"/>
            <w:shd w:val="clear" w:color="auto" w:fill="8C5A2B"/>
          </w:tcPr>
          <w:p>
            <w:pPr>
              <w:spacing w:after="0" w:before="0"/>
            </w:pPr>
            <w:r/>
            <w:r>
              <w:rPr>
                <w:b/>
                <w:i w:val="0"/>
                <w:color w:val="FFFFFF"/>
                <w:sz w:val="18"/>
              </w:rPr>
              <w:t>Was es prüft</w:t>
            </w:r>
          </w:p>
        </w:tc>
        <w:tc>
          <w:tcPr>
            <w:tcW w:type="dxa" w:w="3213"/>
            <w:shd w:val="clear" w:color="auto" w:fill="8C5A2B"/>
          </w:tcPr>
          <w:p>
            <w:pPr>
              <w:spacing w:after="0" w:before="0"/>
            </w:pPr>
            <w:r/>
            <w:r>
              <w:rPr>
                <w:b/>
                <w:i w:val="0"/>
                <w:color w:val="FFFFFF"/>
                <w:sz w:val="18"/>
              </w:rPr>
              <w:t>In Lübeck</w:t>
            </w:r>
          </w:p>
        </w:tc>
      </w:tr>
      <w:tr>
        <w:trPr>
          <w:cantSplit w:val="true"/>
        </w:trPr>
        <w:tc>
          <w:tcPr>
            <w:tcW w:type="dxa" w:w="3213"/>
          </w:tcPr>
          <w:p>
            <w:pPr>
              <w:spacing w:after="0" w:before="0"/>
            </w:pPr>
            <w:r/>
            <w:r>
              <w:rPr>
                <w:b w:val="0"/>
                <w:i w:val="0"/>
                <w:color w:val="1A1A1A"/>
                <w:sz w:val="18"/>
              </w:rPr>
              <w:t>Wiegeliste gegen Foto der Nacht</w:t>
            </w:r>
          </w:p>
        </w:tc>
        <w:tc>
          <w:tcPr>
            <w:tcW w:type="dxa" w:w="3213"/>
          </w:tcPr>
          <w:p>
            <w:pPr>
              <w:spacing w:after="0" w:before="0"/>
            </w:pPr>
            <w:r/>
            <w:r>
              <w:rPr>
                <w:b w:val="0"/>
                <w:i w:val="0"/>
                <w:color w:val="1A1A1A"/>
                <w:sz w:val="18"/>
              </w:rPr>
              <w:t>ob die Messung vollständig war</w:t>
            </w:r>
          </w:p>
        </w:tc>
        <w:tc>
          <w:tcPr>
            <w:tcW w:type="dxa" w:w="3213"/>
          </w:tcPr>
          <w:p>
            <w:pPr>
              <w:spacing w:after="0" w:before="0"/>
            </w:pPr>
            <w:r/>
            <w:r>
              <w:rPr>
                <w:b w:val="0"/>
                <w:i w:val="0"/>
                <w:color w:val="1A1A1A"/>
                <w:sz w:val="18"/>
              </w:rPr>
              <w:t>zwei Kübel ohne Eintrag</w:t>
            </w:r>
          </w:p>
        </w:tc>
      </w:tr>
      <w:tr>
        <w:trPr>
          <w:cantSplit w:val="true"/>
        </w:trPr>
        <w:tc>
          <w:tcPr>
            <w:tcW w:type="dxa" w:w="3213"/>
            <w:shd w:val="clear" w:color="auto" w:fill="F3EFE6"/>
          </w:tcPr>
          <w:p>
            <w:pPr>
              <w:spacing w:after="0" w:before="0"/>
            </w:pPr>
            <w:r/>
            <w:r>
              <w:rPr>
                <w:b w:val="0"/>
                <w:i w:val="0"/>
                <w:color w:val="1A1A1A"/>
                <w:sz w:val="18"/>
              </w:rPr>
              <w:t>Foto gegen Wiegeschein</w:t>
            </w:r>
          </w:p>
        </w:tc>
        <w:tc>
          <w:tcPr>
            <w:tcW w:type="dxa" w:w="3213"/>
            <w:shd w:val="clear" w:color="auto" w:fill="F3EFE6"/>
          </w:tcPr>
          <w:p>
            <w:pPr>
              <w:spacing w:after="0" w:before="0"/>
            </w:pPr>
            <w:r/>
            <w:r>
              <w:rPr>
                <w:b w:val="0"/>
                <w:i w:val="0"/>
                <w:color w:val="1A1A1A"/>
                <w:sz w:val="18"/>
              </w:rPr>
              <w:t>ob am Ort getrennt wurde</w:t>
            </w:r>
          </w:p>
        </w:tc>
        <w:tc>
          <w:tcPr>
            <w:tcW w:type="dxa" w:w="3213"/>
            <w:shd w:val="clear" w:color="auto" w:fill="F3EFE6"/>
          </w:tcPr>
          <w:p>
            <w:pPr>
              <w:spacing w:after="0" w:before="0"/>
            </w:pPr>
            <w:r/>
            <w:r>
              <w:rPr>
                <w:b w:val="0"/>
                <w:i w:val="0"/>
                <w:color w:val="1A1A1A"/>
                <w:sz w:val="18"/>
              </w:rPr>
              <w:t>Fremdstoffe vom Entsorger bestätigt; 210 Euro Aufpreis</w:t>
            </w:r>
          </w:p>
        </w:tc>
      </w:tr>
      <w:tr>
        <w:trPr>
          <w:cantSplit w:val="true"/>
        </w:trPr>
        <w:tc>
          <w:tcPr>
            <w:tcW w:type="dxa" w:w="3213"/>
          </w:tcPr>
          <w:p>
            <w:pPr>
              <w:spacing w:after="0" w:before="0"/>
            </w:pPr>
            <w:r/>
            <w:r>
              <w:rPr>
                <w:b w:val="0"/>
                <w:i w:val="0"/>
                <w:color w:val="1A1A1A"/>
                <w:sz w:val="18"/>
              </w:rPr>
              <w:t>Rechnung gegen Einsatzliste</w:t>
            </w:r>
          </w:p>
        </w:tc>
        <w:tc>
          <w:tcPr>
            <w:tcW w:type="dxa" w:w="3213"/>
          </w:tcPr>
          <w:p>
            <w:pPr>
              <w:spacing w:after="0" w:before="0"/>
            </w:pPr>
            <w:r/>
            <w:r>
              <w:rPr>
                <w:b w:val="0"/>
                <w:i w:val="0"/>
                <w:color w:val="1A1A1A"/>
                <w:sz w:val="18"/>
              </w:rPr>
              <w:t>ob bezahlt wurde, was geleistet wurde</w:t>
            </w:r>
          </w:p>
        </w:tc>
        <w:tc>
          <w:tcPr>
            <w:tcW w:type="dxa" w:w="3213"/>
          </w:tcPr>
          <w:p>
            <w:pPr>
              <w:spacing w:after="0" w:before="0"/>
            </w:pPr>
            <w:r/>
            <w:r>
              <w:rPr>
                <w:b w:val="0"/>
                <w:i w:val="0"/>
                <w:color w:val="1A1A1A"/>
                <w:sz w:val="18"/>
              </w:rPr>
              <w:t>126 gegen 129 Stunden; Ende 3.30 statt 2 Uhr</w:t>
            </w:r>
          </w:p>
        </w:tc>
      </w:tr>
      <w:tr>
        <w:trPr>
          <w:cantSplit w:val="true"/>
        </w:trPr>
        <w:tc>
          <w:tcPr>
            <w:tcW w:type="dxa" w:w="3213"/>
            <w:shd w:val="clear" w:color="auto" w:fill="F3EFE6"/>
          </w:tcPr>
          <w:p>
            <w:pPr>
              <w:spacing w:after="0" w:before="0"/>
            </w:pPr>
            <w:r/>
            <w:r>
              <w:rPr>
                <w:b w:val="0"/>
                <w:i w:val="0"/>
                <w:color w:val="1A1A1A"/>
                <w:sz w:val="18"/>
              </w:rPr>
              <w:t>Bankettformular gegen Einsatzliste</w:t>
            </w:r>
          </w:p>
        </w:tc>
        <w:tc>
          <w:tcPr>
            <w:tcW w:type="dxa" w:w="3213"/>
            <w:shd w:val="clear" w:color="auto" w:fill="F3EFE6"/>
          </w:tcPr>
          <w:p>
            <w:pPr>
              <w:spacing w:after="0" w:before="0"/>
            </w:pPr>
            <w:r/>
            <w:r>
              <w:rPr>
                <w:b w:val="0"/>
                <w:i w:val="0"/>
                <w:color w:val="1A1A1A"/>
                <w:sz w:val="18"/>
              </w:rPr>
              <w:t>ob das Kriterium im Ablauf galt</w:t>
            </w:r>
          </w:p>
        </w:tc>
        <w:tc>
          <w:tcPr>
            <w:tcW w:type="dxa" w:w="3213"/>
            <w:shd w:val="clear" w:color="auto" w:fill="F3EFE6"/>
          </w:tcPr>
          <w:p>
            <w:pPr>
              <w:spacing w:after="0" w:before="0"/>
            </w:pPr>
            <w:r/>
            <w:r>
              <w:rPr>
                <w:b w:val="0"/>
                <w:i w:val="0"/>
                <w:color w:val="1A1A1A"/>
                <w:sz w:val="18"/>
              </w:rPr>
              <w:t>zehn Stunden überschritten; Ablösung fehlte</w:t>
            </w:r>
          </w:p>
        </w:tc>
      </w:tr>
      <w:tr>
        <w:trPr>
          <w:cantSplit w:val="true"/>
        </w:trPr>
        <w:tc>
          <w:tcPr>
            <w:tcW w:type="dxa" w:w="3213"/>
          </w:tcPr>
          <w:p>
            <w:pPr>
              <w:spacing w:after="0" w:before="0"/>
            </w:pPr>
            <w:r/>
            <w:r>
              <w:rPr>
                <w:b w:val="0"/>
                <w:i w:val="0"/>
                <w:color w:val="1A1A1A"/>
                <w:sz w:val="18"/>
              </w:rPr>
              <w:t>Lehrennotiz gegen alle anderen</w:t>
            </w:r>
          </w:p>
        </w:tc>
        <w:tc>
          <w:tcPr>
            <w:tcW w:type="dxa" w:w="3213"/>
          </w:tcPr>
          <w:p>
            <w:pPr>
              <w:spacing w:after="0" w:before="0"/>
            </w:pPr>
            <w:r/>
            <w:r>
              <w:rPr>
                <w:b w:val="0"/>
                <w:i w:val="0"/>
                <w:color w:val="1A1A1A"/>
                <w:sz w:val="18"/>
              </w:rPr>
              <w:t>ob gelernt wurde, was geschah</w:t>
            </w:r>
          </w:p>
        </w:tc>
        <w:tc>
          <w:tcPr>
            <w:tcW w:type="dxa" w:w="3213"/>
          </w:tcPr>
          <w:p>
            <w:pPr>
              <w:spacing w:after="0" w:before="0"/>
            </w:pPr>
            <w:r/>
            <w:r>
              <w:rPr>
                <w:b w:val="0"/>
                <w:i w:val="0"/>
                <w:color w:val="1A1A1A"/>
                <w:sz w:val="18"/>
              </w:rPr>
              <w:t>geschrieben vor dem Abbau</w:t>
            </w:r>
          </w:p>
        </w:tc>
      </w:tr>
    </w:tbl>
    <w:p>
      <w:pPr>
        <w:spacing w:after="40"/>
      </w:pPr>
    </w:p>
    <w:p>
      <w:pPr>
        <w:pStyle w:val="Heading2"/>
      </w:pPr>
      <w:r>
        <w:t>Praktische Anwendung: das Audit nach der Veranstaltung in sieben Schritten</w:t>
      </w:r>
    </w:p>
    <w:p>
      <w:pPr>
        <w:tabs>
          <w:tab w:pos="340" w:val="left"/>
        </w:tabs>
        <w:ind w:left="340" w:hanging="340"/>
      </w:pPr>
      <w:r>
        <w:rPr>
          <w:b/>
          <w:color w:val="8C5A2B"/>
        </w:rPr>
        <w:t>1.</w:t>
        <w:tab/>
      </w:r>
      <w:r>
        <w:rPr>
          <w:b/>
        </w:rPr>
        <w:t>Am Morgen danach in den Hof, vor der Abholung.</w:t>
      </w:r>
      <w:r>
        <w:t xml:space="preserve"> Sehen Sie Container, Tonnen und Abstellflächen an, bevor der Entsorger kommt. Notieren Sie Uhrzeit und Zustand.</w:t>
      </w:r>
    </w:p>
    <w:p>
      <w:pPr>
        <w:tabs>
          <w:tab w:pos="340" w:val="left"/>
        </w:tabs>
        <w:ind w:left="340" w:hanging="340"/>
      </w:pPr>
      <w:r>
        <w:rPr>
          <w:b/>
          <w:color w:val="8C5A2B"/>
        </w:rPr>
        <w:t>2.</w:t>
        <w:tab/>
      </w:r>
      <w:r>
        <w:rPr>
          <w:b/>
        </w:rPr>
        <w:t>Die Fotos und Notizen der Nacht sichern.</w:t>
      </w:r>
      <w:r>
        <w:t xml:space="preserve"> Fragen Sie den Nachtportier und den Schichtleiter, was sie gesehen und aufgeschrieben haben. Lassen Sie sich Fotos schicken, bevor sie gelöscht werden.</w:t>
      </w:r>
    </w:p>
    <w:p>
      <w:pPr>
        <w:tabs>
          <w:tab w:pos="340" w:val="left"/>
        </w:tabs>
        <w:ind w:left="340" w:hanging="340"/>
      </w:pPr>
      <w:r>
        <w:rPr>
          <w:b/>
          <w:color w:val="8C5A2B"/>
        </w:rPr>
        <w:t>3.</w:t>
        <w:tab/>
      </w:r>
      <w:r>
        <w:rPr>
          <w:b/>
        </w:rPr>
        <w:t>Alle Belege des Festes sammeln.</w:t>
      </w:r>
      <w:r>
        <w:t xml:space="preserve"> Wiegeliste, Einsatzliste, Lehrennotiz, Wiegeschein, Rechnungen. Notieren Sie zu jedem, wer ihn wann geschrieben hat.</w:t>
      </w:r>
    </w:p>
    <w:p>
      <w:pPr>
        <w:tabs>
          <w:tab w:pos="340" w:val="left"/>
        </w:tabs>
        <w:ind w:left="340" w:hanging="340"/>
      </w:pPr>
      <w:r>
        <w:rPr>
          <w:b/>
          <w:color w:val="8C5A2B"/>
        </w:rPr>
        <w:t>4.</w:t>
        <w:tab/>
      </w:r>
      <w:r>
        <w:rPr>
          <w:b/>
        </w:rPr>
        <w:t>In Paaren lesen.</w:t>
      </w:r>
      <w:r>
        <w:t xml:space="preserve"> Jeden Beleg gegen einen Beleg einer anderen Stelle über denselben Vorgang. Ein Widerspruch ist zuerst eine Frage.</w:t>
      </w:r>
    </w:p>
    <w:p>
      <w:pPr>
        <w:tabs>
          <w:tab w:pos="340" w:val="left"/>
        </w:tabs>
        <w:ind w:left="340" w:hanging="340"/>
      </w:pPr>
      <w:r>
        <w:rPr>
          <w:b/>
          <w:color w:val="8C5A2B"/>
        </w:rPr>
        <w:t>5.</w:t>
        <w:tab/>
      </w:r>
      <w:r>
        <w:rPr>
          <w:b/>
        </w:rPr>
        <w:t>Die Lehrennotiz zuletzt prüfen.</w:t>
      </w:r>
      <w:r>
        <w:t xml:space="preserve"> Wann wurde sie geschrieben, und enthält sie Abbau, Abfall und Personal? Eine Notiz vor dem Ende ist keine Lehre aus dem Fest.</w:t>
      </w:r>
    </w:p>
    <w:p>
      <w:pPr>
        <w:tabs>
          <w:tab w:pos="340" w:val="left"/>
        </w:tabs>
        <w:ind w:left="340" w:hanging="340"/>
      </w:pPr>
      <w:r>
        <w:rPr>
          <w:b/>
          <w:color w:val="8C5A2B"/>
        </w:rPr>
        <w:t>6.</w:t>
        <w:tab/>
      </w:r>
      <w:r>
        <w:rPr>
          <w:b/>
        </w:rPr>
        <w:t>Nach den Blättern fragen.</w:t>
      </w:r>
      <w:r>
        <w:t xml:space="preserve"> Wurden die Abweichungen der Nacht als Nichtkonformität eröffnet? Was behoben scheint, ist damit nicht erledigt.</w:t>
      </w:r>
    </w:p>
    <w:p>
      <w:pPr>
        <w:tabs>
          <w:tab w:pos="340" w:val="left"/>
        </w:tabs>
        <w:ind w:left="340" w:hanging="340"/>
      </w:pPr>
      <w:r>
        <w:rPr>
          <w:b/>
          <w:color w:val="8C5A2B"/>
        </w:rPr>
        <w:t>7.</w:t>
        <w:tab/>
      </w:r>
      <w:r>
        <w:rPr>
          <w:b/>
        </w:rPr>
        <w:t>Die Grenze nennen.</w:t>
      </w:r>
      <w:r>
        <w:t xml:space="preserve"> Schreiben Sie, welche Belege Sie hatten und welche fehlten. Ein Fest ist eine Stichprobe.</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Am Morgen danach in den Hof, vor der Abholung</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Fotos und Notizen der Nacht sichern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Alle Belege des Festes sammeln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In Paaren lesen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Lehrennotiz zuletzt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Nach den Blättern 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Grenze nennen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Sieht jemand mit Prüfauftrag den Hof am Morgen nach großen Festen an, bevor der Entsorger kommt?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Fotos und Notizen der Nacht einen festen Empfänger und einen festen Ablageort?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Wird gewogen, bis die Ausgabe endet, nicht bis die Schicht endet?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Liest jemand die Rechnung der Personalagentur gegen die Einsatzliste des Hauses?</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Liegt der Wiegeschein des Entsorgers bei den Unterlagen der Veranstaltung?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Wird die Lehrennotiz erst abgeschlossen, wenn der Abbau vorbei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Schichtleiter und Nachtportier, wie sie eine Abweichung melden?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Gehen Zahlen erst an den Kunden, wenn ihre Belege gegeneinander gelesen sind?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Lehre vor dem Ende schreiben.</w:t>
      </w:r>
      <w:r>
        <w:t xml:space="preserve"> Der Abbau fehlt, und «ohne Befund» wird zur Behauptung.</w:t>
      </w:r>
    </w:p>
    <w:p>
      <w:pPr>
        <w:tabs>
          <w:tab w:pos="340" w:val="left"/>
        </w:tabs>
        <w:ind w:left="340" w:hanging="340"/>
      </w:pPr>
      <w:r>
        <w:rPr>
          <w:color w:val="8C5A2B"/>
        </w:rPr>
        <w:t>–</w:t>
        <w:tab/>
      </w:r>
      <w:r>
        <w:rPr>
          <w:b/>
        </w:rPr>
        <w:t>Mit der Schicht aufhören zu messen.</w:t>
      </w:r>
      <w:r>
        <w:t xml:space="preserve"> Die Zahl stimmt für die gewogenen Kübel und ist zu klein für das Fest.</w:t>
      </w:r>
    </w:p>
    <w:p>
      <w:pPr>
        <w:tabs>
          <w:tab w:pos="340" w:val="left"/>
        </w:tabs>
        <w:ind w:left="340" w:hanging="340"/>
      </w:pPr>
      <w:r>
        <w:rPr>
          <w:color w:val="8C5A2B"/>
        </w:rPr>
        <w:t>–</w:t>
        <w:tab/>
      </w:r>
      <w:r>
        <w:rPr>
          <w:b/>
        </w:rPr>
        <w:t>Jeden Beleg einzeln prüfen.</w:t>
      </w:r>
      <w:r>
        <w:t xml:space="preserve"> Jeder ist richtig; der Widerspruch zeigt sich erst im Paar.</w:t>
      </w:r>
    </w:p>
    <w:p>
      <w:pPr>
        <w:tabs>
          <w:tab w:pos="340" w:val="left"/>
        </w:tabs>
        <w:ind w:left="340" w:hanging="340"/>
      </w:pPr>
      <w:r>
        <w:rPr>
          <w:color w:val="8C5A2B"/>
        </w:rPr>
        <w:t>–</w:t>
        <w:tab/>
      </w:r>
      <w:r>
        <w:rPr>
          <w:b/>
        </w:rPr>
        <w:t>Fotos auf dem Diensthandy lassen.</w:t>
      </w:r>
      <w:r>
        <w:t xml:space="preserve"> Am Sonntag sind sie weg, und mit ihnen der Nachweis.</w:t>
      </w:r>
    </w:p>
    <w:p>
      <w:pPr>
        <w:tabs>
          <w:tab w:pos="340" w:val="left"/>
        </w:tabs>
        <w:ind w:left="340" w:hanging="340"/>
      </w:pPr>
      <w:r>
        <w:rPr>
          <w:color w:val="8C5A2B"/>
        </w:rPr>
        <w:t>–</w:t>
        <w:tab/>
      </w:r>
      <w:r>
        <w:rPr>
          <w:b/>
        </w:rPr>
        <w:t>Rechnungen nur gegen das Angebot lesen.</w:t>
      </w:r>
      <w:r>
        <w:t xml:space="preserve"> Ob bezahlt wurde, was geleistet wurde, zeigt nur die Einsatzliste.</w:t>
      </w:r>
    </w:p>
    <w:p>
      <w:pPr>
        <w:tabs>
          <w:tab w:pos="340" w:val="left"/>
        </w:tabs>
        <w:ind w:left="340" w:hanging="340"/>
      </w:pPr>
      <w:r>
        <w:rPr>
          <w:color w:val="8C5A2B"/>
        </w:rPr>
        <w:t>–</w:t>
        <w:tab/>
      </w:r>
      <w:r>
        <w:rPr>
          <w:b/>
        </w:rPr>
        <w:t>Erledigtes nicht eröffnen.</w:t>
      </w:r>
      <w:r>
        <w:t xml:space="preserve"> Der Container ist leer, die Ursache steht beim nächsten Fest wieder im Hof.</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Hof, Fotos, Gespräch mit dem Nachtportier</w:t>
            </w:r>
          </w:p>
        </w:tc>
        <w:tc>
          <w:tcPr>
            <w:tcW w:type="dxa" w:w="1474"/>
          </w:tcPr>
          <w:p>
            <w:pPr>
              <w:spacing w:after="0" w:before="0"/>
            </w:pPr>
            <w:r/>
            <w:r>
              <w:rPr>
                <w:b w:val="0"/>
                <w:i w:val="0"/>
                <w:color w:val="1A1A1A"/>
                <w:sz w:val="18"/>
              </w:rPr>
              <w:t>1,5 Stunden</w:t>
            </w:r>
          </w:p>
        </w:tc>
        <w:tc>
          <w:tcPr>
            <w:tcW w:type="dxa" w:w="3175"/>
          </w:tcPr>
          <w:p>
            <w:pPr>
              <w:spacing w:after="0" w:before="0"/>
            </w:pPr>
            <w:r/>
            <w:r>
              <w:rPr>
                <w:b w:val="0"/>
                <w:i w:val="0"/>
                <w:color w:val="1A1A1A"/>
                <w:sz w:val="18"/>
              </w:rPr>
              <w:t>Samstagmorgen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Belege sammeln und in Paaren lesen</w:t>
            </w:r>
          </w:p>
        </w:tc>
        <w:tc>
          <w:tcPr>
            <w:tcW w:type="dxa" w:w="1474"/>
            <w:shd w:val="clear" w:color="auto" w:fill="F3EFE6"/>
          </w:tcPr>
          <w:p>
            <w:pPr>
              <w:spacing w:after="0" w:before="0"/>
            </w:pPr>
            <w:r/>
            <w:r>
              <w:rPr>
                <w:b w:val="0"/>
                <w:i w:val="0"/>
                <w:color w:val="1A1A1A"/>
                <w:sz w:val="18"/>
              </w:rPr>
              <w:t>4 Stunden</w:t>
            </w:r>
          </w:p>
        </w:tc>
        <w:tc>
          <w:tcPr>
            <w:tcW w:type="dxa" w:w="3175"/>
            <w:shd w:val="clear" w:color="auto" w:fill="F3EFE6"/>
          </w:tcPr>
          <w:p>
            <w:pPr>
              <w:spacing w:after="0" w:before="0"/>
            </w:pPr>
            <w:r/>
            <w:r>
              <w:rPr>
                <w:b w:val="0"/>
                <w:i w:val="0"/>
                <w:color w:val="1A1A1A"/>
                <w:sz w:val="18"/>
              </w:rPr>
              <w:t>über eine Woche verteilt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Bericht an die Direktion</w:t>
            </w:r>
          </w:p>
        </w:tc>
        <w:tc>
          <w:tcPr>
            <w:tcW w:type="dxa" w:w="1474"/>
          </w:tcPr>
          <w:p>
            <w:pPr>
              <w:spacing w:after="0" w:before="0"/>
            </w:pPr>
            <w:r/>
            <w:r>
              <w:rPr>
                <w:b w:val="0"/>
                <w:i w:val="0"/>
                <w:color w:val="1A1A1A"/>
                <w:sz w:val="18"/>
              </w:rPr>
              <w:t>2 Stunden</w:t>
            </w:r>
          </w:p>
        </w:tc>
        <w:tc>
          <w:tcPr>
            <w:tcW w:type="dxa" w:w="3175"/>
          </w:tcPr>
          <w:p>
            <w:pPr>
              <w:spacing w:after="0" w:before="0"/>
            </w:pPr>
            <w:r/>
            <w:r>
              <w:rPr>
                <w:b w:val="0"/>
                <w:i w:val="0"/>
                <w:color w:val="1A1A1A"/>
                <w:sz w:val="18"/>
              </w:rPr>
              <w:t>Auditor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Interne Stunden: 7,5 zu € 44</w:t>
            </w:r>
          </w:p>
        </w:tc>
        <w:tc>
          <w:tcPr>
            <w:tcW w:type="dxa" w:w="1474"/>
            <w:shd w:val="clear" w:color="auto" w:fill="F3EFE6"/>
          </w:tcPr>
          <w:p>
            <w:pPr>
              <w:spacing w:after="0" w:before="0"/>
            </w:pPr>
            <w:r/>
            <w:r>
              <w:rPr>
                <w:b w:val="0"/>
                <w:i w:val="0"/>
                <w:color w:val="1A1A1A"/>
                <w:sz w:val="18"/>
              </w:rPr>
              <w:t>€ 330</w:t>
            </w:r>
          </w:p>
        </w:tc>
        <w:tc>
          <w:tcPr>
            <w:tcW w:type="dxa" w:w="3175"/>
            <w:shd w:val="clear" w:color="auto" w:fill="F3EFE6"/>
          </w:tcPr>
          <w:p>
            <w:pPr>
              <w:spacing w:after="0" w:before="0"/>
            </w:pPr>
            <w:r/>
            <w:r>
              <w:rPr>
                <w:b w:val="0"/>
                <w:i w:val="0"/>
                <w:color w:val="1A1A1A"/>
                <w:sz w:val="18"/>
              </w:rPr>
              <w:t>Auditor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Aufpreis für Fremdstoffe im Pappecontainer</w:t>
            </w:r>
          </w:p>
        </w:tc>
        <w:tc>
          <w:tcPr>
            <w:tcW w:type="dxa" w:w="1474"/>
          </w:tcPr>
          <w:p>
            <w:pPr>
              <w:spacing w:after="0" w:before="0"/>
            </w:pPr>
            <w:r/>
            <w:r>
              <w:rPr>
                <w:b w:val="0"/>
                <w:i w:val="0"/>
                <w:color w:val="1A1A1A"/>
                <w:sz w:val="18"/>
              </w:rPr>
              <w:t>€ 210</w:t>
            </w:r>
          </w:p>
        </w:tc>
        <w:tc>
          <w:tcPr>
            <w:tcW w:type="dxa" w:w="3175"/>
          </w:tcPr>
          <w:p>
            <w:pPr>
              <w:spacing w:after="0" w:before="0"/>
            </w:pPr>
            <w:r/>
            <w:r>
              <w:rPr>
                <w:b w:val="0"/>
                <w:i w:val="0"/>
                <w:color w:val="1A1A1A"/>
                <w:sz w:val="18"/>
              </w:rPr>
              <w:t>einmalig, Wiegeschein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Nachzahlung an die Agentur: 3 Stunden zu € 29</w:t>
            </w:r>
          </w:p>
        </w:tc>
        <w:tc>
          <w:tcPr>
            <w:tcW w:type="dxa" w:w="1474"/>
            <w:shd w:val="clear" w:color="auto" w:fill="F3EFE6"/>
          </w:tcPr>
          <w:p>
            <w:pPr>
              <w:spacing w:after="0" w:before="0"/>
            </w:pPr>
            <w:r/>
            <w:r>
              <w:rPr>
                <w:b w:val="0"/>
                <w:i w:val="0"/>
                <w:color w:val="1A1A1A"/>
                <w:sz w:val="18"/>
              </w:rPr>
              <w:t>€ 87</w:t>
            </w:r>
          </w:p>
        </w:tc>
        <w:tc>
          <w:tcPr>
            <w:tcW w:type="dxa" w:w="3175"/>
            <w:shd w:val="clear" w:color="auto" w:fill="F3EFE6"/>
          </w:tcPr>
          <w:p>
            <w:pPr>
              <w:spacing w:after="0" w:before="0"/>
            </w:pPr>
            <w:r/>
            <w:r>
              <w:rPr>
                <w:b w:val="0"/>
                <w:i w:val="0"/>
                <w:color w:val="1A1A1A"/>
                <w:sz w:val="18"/>
              </w:rPr>
              <w:t>nach Klärung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Ablösung für den Abbau: 4 Kräfte × 3 Stunden zu € 29</w:t>
            </w:r>
          </w:p>
        </w:tc>
        <w:tc>
          <w:tcPr>
            <w:tcW w:type="dxa" w:w="1474"/>
          </w:tcPr>
          <w:p>
            <w:pPr>
              <w:spacing w:after="0" w:before="0"/>
            </w:pPr>
            <w:r/>
            <w:r>
              <w:rPr>
                <w:b w:val="0"/>
                <w:i w:val="0"/>
                <w:color w:val="1A1A1A"/>
                <w:sz w:val="18"/>
              </w:rPr>
              <w:t>€ 348</w:t>
            </w:r>
          </w:p>
        </w:tc>
        <w:tc>
          <w:tcPr>
            <w:tcW w:type="dxa" w:w="3175"/>
          </w:tcPr>
          <w:p>
            <w:pPr>
              <w:spacing w:after="0" w:before="0"/>
            </w:pPr>
            <w:r/>
            <w:r>
              <w:rPr>
                <w:b w:val="0"/>
                <w:i w:val="0"/>
                <w:color w:val="1A1A1A"/>
                <w:sz w:val="18"/>
              </w:rPr>
              <w:t>je Sommerfest; bei sechs Festen € 2.088</w:t>
            </w:r>
          </w:p>
        </w:tc>
        <w:tc>
          <w:tcPr>
            <w:tcW w:type="dxa" w:w="1814"/>
          </w:tcPr>
          <w:p>
            <w:pPr>
              <w:spacing w:after="0" w:before="0"/>
            </w:pPr>
            <w:r/>
            <w:r>
              <w:rPr>
                <w:b w:val="0"/>
                <w:i w:val="0"/>
                <w:color w:val="1A1A1A"/>
                <w:sz w:val="18"/>
              </w:rPr>
            </w:r>
          </w:p>
        </w:tc>
      </w:tr>
    </w:tbl>
    <w:p>
      <w:pPr>
        <w:spacing w:after="40"/>
      </w:pPr>
    </w:p>
    <w:p>
      <w:r>
        <w:rPr>
          <w:b w:val="0"/>
          <w:i w:val="0"/>
        </w:rPr>
        <w:t>Die Rechnung zeigt, dass ein ehrliches Audit nicht immer spart. Die Nachzahlung an die Agentur und die Ablösung kosten mehr, als der Aufpreis des Entsorgers ausmachte. Stunden und Euro stehen hier nebeneinander und werden nicht verrechnet. Was das Haus gewinnt, ist eine Zahl, die es seinem Kunden geben kann, ohne dass sie bei der nächsten Nachfrage zerfällt.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Lehren aus jeder Veranstaltung ermitteln und einspeisen (9.1 c)</w:t>
            </w:r>
          </w:p>
        </w:tc>
        <w:tc>
          <w:tcPr>
            <w:tcW w:type="dxa" w:w="3175"/>
          </w:tcPr>
          <w:p>
            <w:pPr>
              <w:spacing w:after="0" w:before="0"/>
            </w:pPr>
            <w:r/>
            <w:r>
              <w:rPr>
                <w:b w:val="0"/>
                <w:i w:val="0"/>
                <w:color w:val="1A1A1A"/>
                <w:sz w:val="18"/>
              </w:rPr>
              <w:t>Lehrennotiz mit Abbau, Datum und Uhrzeit</w:t>
            </w:r>
          </w:p>
        </w:tc>
        <w:tc>
          <w:tcPr>
            <w:tcW w:type="dxa" w:w="3175"/>
          </w:tcPr>
          <w:p>
            <w:pPr>
              <w:spacing w:after="0" w:before="0"/>
            </w:pPr>
            <w:r/>
            <w:r>
              <w:rPr>
                <w:b w:val="0"/>
                <w:i w:val="0"/>
                <w:color w:val="1A1A1A"/>
                <w:sz w:val="18"/>
              </w:rPr>
              <w:t>Methode: Notiz am nächsten Werktag abschließen</w:t>
            </w:r>
          </w:p>
        </w:tc>
      </w:tr>
      <w:tr>
        <w:trPr>
          <w:cantSplit w:val="true"/>
        </w:trPr>
        <w:tc>
          <w:tcPr>
            <w:tcW w:type="dxa" w:w="3288"/>
            <w:shd w:val="clear" w:color="auto" w:fill="F3EFE6"/>
          </w:tcPr>
          <w:p>
            <w:pPr>
              <w:spacing w:after="0" w:before="0"/>
            </w:pPr>
            <w:r/>
            <w:r>
              <w:rPr>
                <w:b w:val="0"/>
                <w:i w:val="0"/>
                <w:color w:val="1A1A1A"/>
                <w:sz w:val="18"/>
              </w:rPr>
              <w:t>Messen nach festgelegter Methode und Zeit (9.1)</w:t>
            </w:r>
          </w:p>
        </w:tc>
        <w:tc>
          <w:tcPr>
            <w:tcW w:type="dxa" w:w="3175"/>
            <w:shd w:val="clear" w:color="auto" w:fill="F3EFE6"/>
          </w:tcPr>
          <w:p>
            <w:pPr>
              <w:spacing w:after="0" w:before="0"/>
            </w:pPr>
            <w:r/>
            <w:r>
              <w:rPr>
                <w:b w:val="0"/>
                <w:i w:val="0"/>
                <w:color w:val="1A1A1A"/>
                <w:sz w:val="18"/>
              </w:rPr>
              <w:t>Wiegeliste bis zum Ende der Ausgabe</w:t>
            </w:r>
          </w:p>
        </w:tc>
        <w:tc>
          <w:tcPr>
            <w:tcW w:type="dxa" w:w="3175"/>
            <w:shd w:val="clear" w:color="auto" w:fill="F3EFE6"/>
          </w:tcPr>
          <w:p>
            <w:pPr>
              <w:spacing w:after="0" w:before="0"/>
            </w:pPr>
            <w:r/>
            <w:r>
              <w:rPr>
                <w:b w:val="0"/>
                <w:i w:val="0"/>
                <w:color w:val="1A1A1A"/>
                <w:sz w:val="18"/>
              </w:rPr>
              <w:t>Methode: Wiegen nach Buffetende, nicht nach Schichtende</w:t>
            </w:r>
          </w:p>
        </w:tc>
      </w:tr>
      <w:tr>
        <w:trPr>
          <w:cantSplit w:val="true"/>
        </w:trPr>
        <w:tc>
          <w:tcPr>
            <w:tcW w:type="dxa" w:w="3288"/>
          </w:tcPr>
          <w:p>
            <w:pPr>
              <w:spacing w:after="0" w:before="0"/>
            </w:pPr>
            <w:r/>
            <w:r>
              <w:rPr>
                <w:b w:val="0"/>
                <w:i w:val="0"/>
                <w:color w:val="1A1A1A"/>
                <w:sz w:val="18"/>
              </w:rPr>
              <w:t>Kriterien; extern bereitgestellte Prozesse steuern (8.1)</w:t>
            </w:r>
          </w:p>
        </w:tc>
        <w:tc>
          <w:tcPr>
            <w:tcW w:type="dxa" w:w="3175"/>
          </w:tcPr>
          <w:p>
            <w:pPr>
              <w:spacing w:after="0" w:before="0"/>
            </w:pPr>
            <w:r/>
            <w:r>
              <w:rPr>
                <w:b w:val="0"/>
                <w:i w:val="0"/>
                <w:color w:val="1A1A1A"/>
                <w:sz w:val="18"/>
              </w:rPr>
              <w:t>Bankettformular; Einsatzliste gegen Rechnung</w:t>
            </w:r>
          </w:p>
        </w:tc>
        <w:tc>
          <w:tcPr>
            <w:tcW w:type="dxa" w:w="3175"/>
          </w:tcPr>
          <w:p>
            <w:pPr>
              <w:spacing w:after="0" w:before="0"/>
            </w:pPr>
            <w:r/>
            <w:r>
              <w:rPr>
                <w:b w:val="0"/>
                <w:i w:val="0"/>
                <w:color w:val="1A1A1A"/>
                <w:sz w:val="18"/>
              </w:rPr>
              <w:t>Methode: Belegpaare</w:t>
            </w:r>
          </w:p>
        </w:tc>
      </w:tr>
      <w:tr>
        <w:trPr>
          <w:cantSplit w:val="true"/>
        </w:trPr>
        <w:tc>
          <w:tcPr>
            <w:tcW w:type="dxa" w:w="3288"/>
            <w:shd w:val="clear" w:color="auto" w:fill="F3EFE6"/>
          </w:tcPr>
          <w:p>
            <w:pPr>
              <w:spacing w:after="0" w:before="0"/>
            </w:pPr>
            <w:r/>
            <w:r>
              <w:rPr>
                <w:b w:val="0"/>
                <w:i w:val="0"/>
                <w:color w:val="1A1A1A"/>
                <w:sz w:val="18"/>
              </w:rPr>
              <w:t>Auf Nichtkonformitäten reagieren, dokumentieren (10.2)</w:t>
            </w:r>
          </w:p>
        </w:tc>
        <w:tc>
          <w:tcPr>
            <w:tcW w:type="dxa" w:w="3175"/>
            <w:shd w:val="clear" w:color="auto" w:fill="F3EFE6"/>
          </w:tcPr>
          <w:p>
            <w:pPr>
              <w:spacing w:after="0" w:before="0"/>
            </w:pPr>
            <w:r/>
            <w:r>
              <w:rPr>
                <w:b w:val="0"/>
                <w:i w:val="0"/>
                <w:color w:val="1A1A1A"/>
                <w:sz w:val="18"/>
              </w:rPr>
              <w:t>Blätter zur Ablösung und zum Pappecontainer</w:t>
            </w:r>
          </w:p>
        </w:tc>
        <w:tc>
          <w:tcPr>
            <w:tcW w:type="dxa" w:w="3175"/>
            <w:shd w:val="clear" w:color="auto" w:fill="F3EFE6"/>
          </w:tcPr>
          <w:p>
            <w:pPr>
              <w:spacing w:after="0" w:before="0"/>
            </w:pPr>
            <w:r/>
            <w:r>
              <w:rPr>
                <w:b w:val="0"/>
                <w:i w:val="0"/>
                <w:color w:val="1A1A1A"/>
                <w:sz w:val="18"/>
              </w:rPr>
              <w:t>Methode: Meldeweg für Nachtportier und Schichtleiter</w:t>
            </w:r>
          </w:p>
        </w:tc>
      </w:tr>
      <w:tr>
        <w:trPr>
          <w:cantSplit w:val="true"/>
        </w:trPr>
        <w:tc>
          <w:tcPr>
            <w:tcW w:type="dxa" w:w="3288"/>
          </w:tcPr>
          <w:p>
            <w:pPr>
              <w:spacing w:after="0" w:before="0"/>
            </w:pPr>
            <w:r/>
            <w:r>
              <w:rPr>
                <w:b w:val="0"/>
                <w:i w:val="0"/>
                <w:color w:val="1A1A1A"/>
                <w:sz w:val="18"/>
              </w:rPr>
              <w:t>Dokumentierte Information lenken (7.5.3)</w:t>
            </w:r>
          </w:p>
        </w:tc>
        <w:tc>
          <w:tcPr>
            <w:tcW w:type="dxa" w:w="3175"/>
          </w:tcPr>
          <w:p>
            <w:pPr>
              <w:spacing w:after="0" w:before="0"/>
            </w:pPr>
            <w:r/>
            <w:r>
              <w:rPr>
                <w:b w:val="0"/>
                <w:i w:val="0"/>
                <w:color w:val="1A1A1A"/>
                <w:sz w:val="18"/>
              </w:rPr>
              <w:t>Ablage aller Belege eines Festes an einem Ort</w:t>
            </w:r>
          </w:p>
        </w:tc>
        <w:tc>
          <w:tcPr>
            <w:tcW w:type="dxa" w:w="3175"/>
          </w:tcPr>
          <w:p>
            <w:pPr>
              <w:spacing w:after="0" w:before="0"/>
            </w:pPr>
            <w:r/>
            <w:r>
              <w:rPr>
                <w:b w:val="0"/>
                <w:i w:val="0"/>
                <w:color w:val="1A1A1A"/>
                <w:sz w:val="18"/>
              </w:rPr>
              <w:t>Methode: Fotos der Nacht binnen eines Tages sichern</w:t>
            </w:r>
          </w:p>
        </w:tc>
      </w:tr>
      <w:tr>
        <w:trPr>
          <w:cantSplit w:val="true"/>
        </w:trPr>
        <w:tc>
          <w:tcPr>
            <w:tcW w:type="dxa" w:w="3288"/>
            <w:shd w:val="clear" w:color="auto" w:fill="F3EFE6"/>
          </w:tcPr>
          <w:p>
            <w:pPr>
              <w:spacing w:after="0" w:before="0"/>
            </w:pPr>
            <w:r/>
            <w:r>
              <w:rPr>
                <w:b w:val="0"/>
                <w:i w:val="0"/>
                <w:color w:val="1A1A1A"/>
                <w:sz w:val="18"/>
              </w:rPr>
              <w:t>Interne Audits nach Programm (9.2)</w:t>
            </w:r>
          </w:p>
        </w:tc>
        <w:tc>
          <w:tcPr>
            <w:tcW w:type="dxa" w:w="3175"/>
            <w:shd w:val="clear" w:color="auto" w:fill="F3EFE6"/>
          </w:tcPr>
          <w:p>
            <w:pPr>
              <w:spacing w:after="0" w:before="0"/>
            </w:pPr>
            <w:r/>
            <w:r>
              <w:rPr>
                <w:b w:val="0"/>
                <w:i w:val="0"/>
                <w:color w:val="1A1A1A"/>
                <w:sz w:val="18"/>
              </w:rPr>
              <w:t>Auditplan mit Prüfung am Morgen danach</w:t>
            </w:r>
          </w:p>
        </w:tc>
        <w:tc>
          <w:tcPr>
            <w:tcW w:type="dxa" w:w="3175"/>
            <w:shd w:val="clear" w:color="auto" w:fill="F3EFE6"/>
          </w:tcPr>
          <w:p>
            <w:pPr>
              <w:spacing w:after="0" w:before="0"/>
            </w:pPr>
            <w:r/>
            <w:r>
              <w:rPr>
                <w:b w:val="0"/>
                <w:i w:val="0"/>
                <w:color w:val="1A1A1A"/>
                <w:sz w:val="18"/>
              </w:rPr>
              <w:t>ISO 19011:2026: faktengestützter Ansatz</w:t>
            </w:r>
          </w:p>
        </w:tc>
      </w:tr>
    </w:tbl>
    <w:p>
      <w:pPr>
        <w:spacing w:after="40"/>
      </w:pPr>
    </w:p>
    <w:p>
      <w:pPr>
        <w:pStyle w:val="Heading2"/>
      </w:pPr>
      <w:r>
        <w:t>DACH-Anker: Belege nach dem Fest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Getrennte Sammlung und Nachweis</w:t>
            </w:r>
          </w:p>
        </w:tc>
        <w:tc>
          <w:tcPr>
            <w:tcW w:type="dxa" w:w="2721"/>
          </w:tcPr>
          <w:p>
            <w:pPr>
              <w:spacing w:after="0" w:before="0"/>
            </w:pPr>
            <w:r/>
            <w:r>
              <w:rPr>
                <w:b w:val="0"/>
                <w:i w:val="0"/>
                <w:color w:val="1A1A1A"/>
                <w:sz w:val="17"/>
              </w:rPr>
              <w:t>getrennt sammeln und dokumentieren, etwa mit Lichtbildern und Wiegescheinen (§ 3 GewAbfV; Band 8a, 2.11)</w:t>
            </w:r>
          </w:p>
        </w:tc>
        <w:tc>
          <w:tcPr>
            <w:tcW w:type="dxa" w:w="2721"/>
          </w:tcPr>
          <w:p>
            <w:pPr>
              <w:spacing w:after="0" w:before="0"/>
            </w:pPr>
            <w:r/>
            <w:r>
              <w:rPr>
                <w:b w:val="0"/>
                <w:i w:val="0"/>
                <w:color w:val="1A1A1A"/>
                <w:sz w:val="17"/>
              </w:rPr>
              <w:t>Landesrecht und Abfuhrordnung der Gemeinde (Band 8a, 2.12)</w:t>
            </w:r>
          </w:p>
        </w:tc>
        <w:tc>
          <w:tcPr>
            <w:tcW w:type="dxa" w:w="2721"/>
          </w:tcPr>
          <w:p>
            <w:pPr>
              <w:spacing w:after="0" w:before="0"/>
            </w:pPr>
            <w:r/>
            <w:r>
              <w:rPr>
                <w:b w:val="0"/>
                <w:i w:val="0"/>
                <w:color w:val="1A1A1A"/>
                <w:sz w:val="17"/>
              </w:rPr>
              <w:t>Reglemente von Kanton und Gemeinde</w:t>
            </w:r>
          </w:p>
        </w:tc>
      </w:tr>
      <w:tr>
        <w:trPr>
          <w:cantSplit w:val="true"/>
        </w:trPr>
        <w:tc>
          <w:tcPr>
            <w:tcW w:type="dxa" w:w="1474"/>
            <w:shd w:val="clear" w:color="auto" w:fill="F3EFE6"/>
          </w:tcPr>
          <w:p>
            <w:pPr>
              <w:spacing w:after="0" w:before="0"/>
            </w:pPr>
            <w:r/>
            <w:r>
              <w:rPr>
                <w:b w:val="0"/>
                <w:i w:val="0"/>
                <w:color w:val="1A1A1A"/>
                <w:sz w:val="17"/>
              </w:rPr>
              <w:t>Aufzeichnungen über Abfälle</w:t>
            </w:r>
          </w:p>
        </w:tc>
        <w:tc>
          <w:tcPr>
            <w:tcW w:type="dxa" w:w="2721"/>
            <w:shd w:val="clear" w:color="auto" w:fill="F3EFE6"/>
          </w:tcPr>
          <w:p>
            <w:pPr>
              <w:spacing w:after="0" w:before="0"/>
            </w:pPr>
            <w:r/>
            <w:r>
              <w:rPr>
                <w:b w:val="0"/>
                <w:i w:val="0"/>
                <w:color w:val="1A1A1A"/>
                <w:sz w:val="17"/>
              </w:rPr>
              <w:t>Dokumentation nach § 3 GewAbfV</w:t>
            </w:r>
          </w:p>
        </w:tc>
        <w:tc>
          <w:tcPr>
            <w:tcW w:type="dxa" w:w="2721"/>
            <w:shd w:val="clear" w:color="auto" w:fill="F3EFE6"/>
          </w:tcPr>
          <w:p>
            <w:pPr>
              <w:spacing w:after="0" w:before="0"/>
            </w:pPr>
            <w:r/>
            <w:r>
              <w:rPr>
                <w:b w:val="0"/>
                <w:i w:val="0"/>
                <w:color w:val="1A1A1A"/>
                <w:sz w:val="17"/>
              </w:rPr>
              <w:t>Art, Menge, Herkunft, Verbleib; sieben Jahre aufbewahren (§ 17 AWG 2002; Band 8a, 2.11)</w:t>
            </w:r>
          </w:p>
        </w:tc>
        <w:tc>
          <w:tcPr>
            <w:tcW w:type="dxa" w:w="2721"/>
            <w:shd w:val="clear" w:color="auto" w:fill="F3EFE6"/>
          </w:tcPr>
          <w:p>
            <w:pPr>
              <w:spacing w:after="0" w:before="0"/>
            </w:pPr>
            <w:r/>
            <w:r>
              <w:rPr>
                <w:b w:val="0"/>
                <w:i w:val="0"/>
                <w:color w:val="1A1A1A"/>
                <w:sz w:val="17"/>
              </w:rPr>
              <w:t>Vorgaben von Kanton und Gemeinde</w:t>
            </w:r>
          </w:p>
        </w:tc>
      </w:tr>
      <w:tr>
        <w:trPr>
          <w:cantSplit w:val="true"/>
        </w:trPr>
        <w:tc>
          <w:tcPr>
            <w:tcW w:type="dxa" w:w="1474"/>
          </w:tcPr>
          <w:p>
            <w:pPr>
              <w:spacing w:after="0" w:before="0"/>
            </w:pPr>
            <w:r/>
            <w:r>
              <w:rPr>
                <w:b w:val="0"/>
                <w:i w:val="0"/>
                <w:color w:val="1A1A1A"/>
                <w:sz w:val="17"/>
              </w:rPr>
              <w:t>Überlassene Kräfte</w:t>
            </w:r>
          </w:p>
        </w:tc>
        <w:tc>
          <w:tcPr>
            <w:tcW w:type="dxa" w:w="2721"/>
          </w:tcPr>
          <w:p>
            <w:pPr>
              <w:spacing w:after="0" w:before="0"/>
            </w:pPr>
            <w:r/>
            <w:r>
              <w:rPr>
                <w:b w:val="0"/>
                <w:i w:val="0"/>
                <w:color w:val="1A1A1A"/>
                <w:sz w:val="17"/>
              </w:rPr>
              <w:t>Unterweisung durch den Entleiher (§ 12 ArbSchG; Band 8a, 2.12); Arbeitszeitrecht, Arbeitgeber ist die Agentur</w:t>
            </w:r>
          </w:p>
        </w:tc>
        <w:tc>
          <w:tcPr>
            <w:tcW w:type="dxa" w:w="2721"/>
          </w:tcPr>
          <w:p>
            <w:pPr>
              <w:spacing w:after="0" w:before="0"/>
            </w:pPr>
            <w:r/>
            <w:r>
              <w:rPr>
                <w:b w:val="0"/>
                <w:i w:val="0"/>
                <w:color w:val="1A1A1A"/>
                <w:sz w:val="17"/>
              </w:rPr>
              <w:t>Unterweisung nachweislich vor Aufnahme (§ 14 ASchG); Beschäftiger als Arbeitgeber im Arbeitnehmerschutz (Band 8a, 2.12)</w:t>
            </w:r>
          </w:p>
        </w:tc>
        <w:tc>
          <w:tcPr>
            <w:tcW w:type="dxa" w:w="2721"/>
          </w:tcPr>
          <w:p>
            <w:pPr>
              <w:spacing w:after="0" w:before="0"/>
            </w:pPr>
            <w:r/>
            <w:r>
              <w:rPr>
                <w:b w:val="0"/>
                <w:i w:val="0"/>
                <w:color w:val="1A1A1A"/>
                <w:sz w:val="17"/>
              </w:rPr>
              <w:t>Information und Anleitung auch für Arbeitnehmer anderer Betriebe (Art. 6 VUV; Band 8a, 2.12)</w:t>
            </w:r>
          </w:p>
        </w:tc>
      </w:tr>
      <w:tr>
        <w:trPr>
          <w:cantSplit w:val="true"/>
        </w:trPr>
        <w:tc>
          <w:tcPr>
            <w:tcW w:type="dxa" w:w="1474"/>
            <w:shd w:val="clear" w:color="auto" w:fill="F3EFE6"/>
          </w:tcPr>
          <w:p>
            <w:pPr>
              <w:spacing w:after="0" w:before="0"/>
            </w:pPr>
            <w:r/>
            <w:r>
              <w:rPr>
                <w:b w:val="0"/>
                <w:i w:val="0"/>
                <w:color w:val="1A1A1A"/>
                <w:sz w:val="17"/>
              </w:rPr>
              <w:t>Fotos der Nacht</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DSGVO, wenn Personen erkennbar sind</w:t>
            </w:r>
          </w:p>
        </w:tc>
        <w:tc>
          <w:tcPr>
            <w:tcW w:type="dxa" w:w="2721"/>
            <w:shd w:val="clear" w:color="auto" w:fill="F3EFE6"/>
          </w:tcPr>
          <w:p>
            <w:pPr>
              <w:spacing w:after="0" w:before="0"/>
            </w:pPr>
            <w:r/>
            <w:r>
              <w:rPr>
                <w:b w:val="0"/>
                <w:i w:val="0"/>
                <w:color w:val="1A1A1A"/>
                <w:sz w:val="17"/>
              </w:rPr>
              <w:t>Datenschutzgesetz</w:t>
            </w:r>
          </w:p>
        </w:tc>
      </w:tr>
      <w:tr>
        <w:trPr>
          <w:cantSplit w:val="true"/>
        </w:trPr>
        <w:tc>
          <w:tcPr>
            <w:tcW w:type="dxa" w:w="1474"/>
          </w:tcPr>
          <w:p>
            <w:pPr>
              <w:spacing w:after="0" w:before="0"/>
            </w:pPr>
            <w:r/>
            <w:r>
              <w:rPr>
                <w:b w:val="0"/>
                <w:i w:val="0"/>
                <w:color w:val="1A1A1A"/>
                <w:sz w:val="17"/>
              </w:rPr>
              <w:t>Zahlen an den Kunden</w:t>
            </w:r>
          </w:p>
        </w:tc>
        <w:tc>
          <w:tcPr>
            <w:tcW w:type="dxa" w:w="2721"/>
          </w:tcPr>
          <w:p>
            <w:pPr>
              <w:spacing w:after="0" w:before="0"/>
            </w:pPr>
            <w:r/>
            <w:r>
              <w:rPr>
                <w:b w:val="0"/>
                <w:i w:val="0"/>
                <w:color w:val="1A1A1A"/>
                <w:sz w:val="17"/>
              </w:rPr>
              <w:t>gegenüber Verbrauchern UWG ab 27. September 2026; gegenüber Firmenkunden allgemeines Irreführungsverbot</w:t>
            </w:r>
          </w:p>
        </w:tc>
        <w:tc>
          <w:tcPr>
            <w:tcW w:type="dxa" w:w="2721"/>
          </w:tcPr>
          <w:p>
            <w:pPr>
              <w:spacing w:after="0" w:before="0"/>
            </w:pPr>
            <w:r/>
            <w:r>
              <w:rPr>
                <w:b w:val="0"/>
                <w:i w:val="0"/>
                <w:color w:val="1A1A1A"/>
                <w:sz w:val="17"/>
              </w:rPr>
              <w:t>gegenüber Verbrauchern UWG-Novelle BGBl. I Nr. 58/2026; sonst allgemeines Irreführungsverbot</w:t>
            </w:r>
          </w:p>
        </w:tc>
        <w:tc>
          <w:tcPr>
            <w:tcW w:type="dxa" w:w="2721"/>
          </w:tcPr>
          <w:p>
            <w:pPr>
              <w:spacing w:after="0" w:before="0"/>
            </w:pPr>
            <w:r/>
            <w:r>
              <w:rPr>
                <w:b w:val="0"/>
                <w:i w:val="0"/>
                <w:color w:val="1A1A1A"/>
                <w:sz w:val="17"/>
              </w:rPr>
              <w:t>Klimaaussagen nur mit überprüfbaren Grundlagen (Art. 3 Abs. 1 lit. x UWG)</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3.8.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3.8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3.8 — Das Audit nach der Veranstaltung</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