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3.9</w:t>
      </w:r>
    </w:p>
    <w:p>
      <w:pPr>
        <w:pStyle w:val="Heading1"/>
      </w:pPr>
      <w:r>
        <w:t>Ein Themenregister prüfen</w:t>
      </w:r>
    </w:p>
    <w:p>
      <w:pPr>
        <w:spacing w:after="0"/>
      </w:pPr>
      <w:r>
        <w:rPr>
          <w:b w:val="0"/>
          <w:i/>
          <w:color w:val="5A5A5A"/>
        </w:rPr>
        <w:t>Abschnitt 3.9 · Die Bewertung der Auswirkungen prüfen: Themenregister und Bedeutung</w:t>
      </w:r>
    </w:p>
    <w:p>
      <w:pPr>
        <w:spacing w:after="160"/>
      </w:pPr>
      <w:r>
        <w:rPr>
          <w:b w:val="0"/>
          <w:i w:val="0"/>
          <w:color w:val="5A5A5A"/>
          <w:sz w:val="18"/>
        </w:rPr>
        <w:t>Modellfall im Buch: Davos</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in Ihrem Themenregister alle Themen dieselbe Stufe tragen: Hat Ihr Haus dann alles gleich sorgfältig bewertet, oder hat es nichts bewertet? Und könnte ein Auditor an einer einzigen Zeile zeigen, wie sie zustande kam?</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Was der Auditor am Register prüft, und was nicht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Prüfgegenstand</w:t>
            </w:r>
          </w:p>
        </w:tc>
        <w:tc>
          <w:tcPr>
            <w:tcW w:type="dxa" w:w="3213"/>
            <w:shd w:val="clear" w:color="auto" w:fill="8C5A2B"/>
          </w:tcPr>
          <w:p>
            <w:pPr>
              <w:spacing w:after="0" w:before="0"/>
            </w:pPr>
            <w:r/>
            <w:r>
              <w:rPr>
                <w:b/>
                <w:i w:val="0"/>
                <w:color w:val="FFFFFF"/>
                <w:sz w:val="18"/>
              </w:rPr>
              <w:t>Was er fragt</w:t>
            </w:r>
          </w:p>
        </w:tc>
        <w:tc>
          <w:tcPr>
            <w:tcW w:type="dxa" w:w="3213"/>
            <w:shd w:val="clear" w:color="auto" w:fill="8C5A2B"/>
          </w:tcPr>
          <w:p>
            <w:pPr>
              <w:spacing w:after="0" w:before="0"/>
            </w:pPr>
            <w:r/>
            <w:r>
              <w:rPr>
                <w:b/>
                <w:i w:val="0"/>
                <w:color w:val="FFFFFF"/>
                <w:sz w:val="18"/>
              </w:rPr>
              <w:t>Was er nicht tut</w:t>
            </w:r>
          </w:p>
        </w:tc>
      </w:tr>
      <w:tr>
        <w:trPr>
          <w:cantSplit w:val="true"/>
        </w:trPr>
        <w:tc>
          <w:tcPr>
            <w:tcW w:type="dxa" w:w="3213"/>
          </w:tcPr>
          <w:p>
            <w:pPr>
              <w:spacing w:after="0" w:before="0"/>
            </w:pPr>
            <w:r/>
            <w:r>
              <w:rPr>
                <w:b w:val="0"/>
                <w:i w:val="0"/>
                <w:color w:val="1A1A1A"/>
                <w:sz w:val="18"/>
              </w:rPr>
              <w:t>Kriterien</w:t>
            </w:r>
          </w:p>
        </w:tc>
        <w:tc>
          <w:tcPr>
            <w:tcW w:type="dxa" w:w="3213"/>
          </w:tcPr>
          <w:p>
            <w:pPr>
              <w:spacing w:after="0" w:before="0"/>
            </w:pPr>
            <w:r/>
            <w:r>
              <w:rPr>
                <w:b w:val="0"/>
                <w:i w:val="0"/>
                <w:color w:val="1A1A1A"/>
                <w:sz w:val="18"/>
              </w:rPr>
              <w:t>Sind sie dokumentiert, mit Rückmeldungen, neuen Themen und, wo zutreffend, Forschung?</w:t>
            </w:r>
          </w:p>
        </w:tc>
        <w:tc>
          <w:tcPr>
            <w:tcW w:type="dxa" w:w="3213"/>
          </w:tcPr>
          <w:p>
            <w:pPr>
              <w:spacing w:after="0" w:before="0"/>
            </w:pPr>
            <w:r/>
            <w:r>
              <w:rPr>
                <w:b w:val="0"/>
                <w:i w:val="0"/>
                <w:color w:val="1A1A1A"/>
                <w:sz w:val="18"/>
              </w:rPr>
              <w:t>eigene Kriterien vorschlagen</w:t>
            </w:r>
          </w:p>
        </w:tc>
      </w:tr>
      <w:tr>
        <w:trPr>
          <w:cantSplit w:val="true"/>
        </w:trPr>
        <w:tc>
          <w:tcPr>
            <w:tcW w:type="dxa" w:w="3213"/>
            <w:shd w:val="clear" w:color="auto" w:fill="F3EFE6"/>
          </w:tcPr>
          <w:p>
            <w:pPr>
              <w:spacing w:after="0" w:before="0"/>
            </w:pPr>
            <w:r/>
            <w:r>
              <w:rPr>
                <w:b w:val="0"/>
                <w:i w:val="0"/>
                <w:color w:val="1A1A1A"/>
                <w:sz w:val="18"/>
              </w:rPr>
              <w:t>Anwendung</w:t>
            </w:r>
          </w:p>
        </w:tc>
        <w:tc>
          <w:tcPr>
            <w:tcW w:type="dxa" w:w="3213"/>
            <w:shd w:val="clear" w:color="auto" w:fill="F3EFE6"/>
          </w:tcPr>
          <w:p>
            <w:pPr>
              <w:spacing w:after="0" w:before="0"/>
            </w:pPr>
            <w:r/>
            <w:r>
              <w:rPr>
                <w:b w:val="0"/>
                <w:i w:val="0"/>
                <w:color w:val="1A1A1A"/>
                <w:sz w:val="18"/>
              </w:rPr>
              <w:t>Lässt sich je gezogener Zeile zeigen, wer nach welchem Kriterium bewertet hat?</w:t>
            </w:r>
          </w:p>
        </w:tc>
        <w:tc>
          <w:tcPr>
            <w:tcW w:type="dxa" w:w="3213"/>
            <w:shd w:val="clear" w:color="auto" w:fill="F3EFE6"/>
          </w:tcPr>
          <w:p>
            <w:pPr>
              <w:spacing w:after="0" w:before="0"/>
            </w:pPr>
            <w:r/>
            <w:r>
              <w:rPr>
                <w:b w:val="0"/>
                <w:i w:val="0"/>
                <w:color w:val="1A1A1A"/>
                <w:sz w:val="18"/>
              </w:rPr>
              <w:t>die Stufe neu festsetzen</w:t>
            </w:r>
          </w:p>
        </w:tc>
      </w:tr>
      <w:tr>
        <w:trPr>
          <w:cantSplit w:val="true"/>
        </w:trPr>
        <w:tc>
          <w:tcPr>
            <w:tcW w:type="dxa" w:w="3213"/>
          </w:tcPr>
          <w:p>
            <w:pPr>
              <w:spacing w:after="0" w:before="0"/>
            </w:pPr>
            <w:r/>
            <w:r>
              <w:rPr>
                <w:b w:val="0"/>
                <w:i w:val="0"/>
                <w:color w:val="1A1A1A"/>
                <w:sz w:val="18"/>
              </w:rPr>
              <w:t>Rückmeldungen</w:t>
            </w:r>
          </w:p>
        </w:tc>
        <w:tc>
          <w:tcPr>
            <w:tcW w:type="dxa" w:w="3213"/>
          </w:tcPr>
          <w:p>
            <w:pPr>
              <w:spacing w:after="0" w:before="0"/>
            </w:pPr>
            <w:r/>
            <w:r>
              <w:rPr>
                <w:b w:val="0"/>
                <w:i w:val="0"/>
                <w:color w:val="1A1A1A"/>
                <w:sz w:val="18"/>
              </w:rPr>
              <w:t>Ist jede gesammelte Rückmeldung in einer Zeile wiederzufinden?</w:t>
            </w:r>
          </w:p>
        </w:tc>
        <w:tc>
          <w:tcPr>
            <w:tcW w:type="dxa" w:w="3213"/>
          </w:tcPr>
          <w:p>
            <w:pPr>
              <w:spacing w:after="0" w:before="0"/>
            </w:pPr>
            <w:r/>
            <w:r>
              <w:rPr>
                <w:b w:val="0"/>
                <w:i w:val="0"/>
                <w:color w:val="1A1A1A"/>
                <w:sz w:val="18"/>
              </w:rPr>
              <w:t>Rückmeldungen selbst gewichten</w:t>
            </w:r>
          </w:p>
        </w:tc>
      </w:tr>
      <w:tr>
        <w:trPr>
          <w:cantSplit w:val="true"/>
        </w:trPr>
        <w:tc>
          <w:tcPr>
            <w:tcW w:type="dxa" w:w="3213"/>
            <w:shd w:val="clear" w:color="auto" w:fill="F3EFE6"/>
          </w:tcPr>
          <w:p>
            <w:pPr>
              <w:spacing w:after="0" w:before="0"/>
            </w:pPr>
            <w:r/>
            <w:r>
              <w:rPr>
                <w:b w:val="0"/>
                <w:i w:val="0"/>
                <w:color w:val="1A1A1A"/>
                <w:sz w:val="18"/>
              </w:rPr>
              <w:t>Fortschreibung</w:t>
            </w:r>
          </w:p>
        </w:tc>
        <w:tc>
          <w:tcPr>
            <w:tcW w:type="dxa" w:w="3213"/>
            <w:shd w:val="clear" w:color="auto" w:fill="F3EFE6"/>
          </w:tcPr>
          <w:p>
            <w:pPr>
              <w:spacing w:after="0" w:before="0"/>
            </w:pPr>
            <w:r/>
            <w:r>
              <w:rPr>
                <w:b w:val="0"/>
                <w:i w:val="0"/>
                <w:color w:val="1A1A1A"/>
                <w:sz w:val="18"/>
              </w:rPr>
              <w:t>Wurde nach dem Ereignis geprüft, ob sich etwas ändert?</w:t>
            </w:r>
          </w:p>
        </w:tc>
        <w:tc>
          <w:tcPr>
            <w:tcW w:type="dxa" w:w="3213"/>
            <w:shd w:val="clear" w:color="auto" w:fill="F3EFE6"/>
          </w:tcPr>
          <w:p>
            <w:pPr>
              <w:spacing w:after="0" w:before="0"/>
            </w:pPr>
            <w:r/>
            <w:r>
              <w:rPr>
                <w:b w:val="0"/>
                <w:i w:val="0"/>
                <w:color w:val="1A1A1A"/>
                <w:sz w:val="18"/>
              </w:rPr>
              <w:t>sagen, wie es sich hätte ändern müssen</w:t>
            </w:r>
          </w:p>
        </w:tc>
      </w:tr>
      <w:tr>
        <w:trPr>
          <w:cantSplit w:val="true"/>
        </w:trPr>
        <w:tc>
          <w:tcPr>
            <w:tcW w:type="dxa" w:w="3213"/>
          </w:tcPr>
          <w:p>
            <w:pPr>
              <w:spacing w:after="0" w:before="0"/>
            </w:pPr>
            <w:r/>
            <w:r>
              <w:rPr>
                <w:b w:val="0"/>
                <w:i w:val="0"/>
                <w:color w:val="1A1A1A"/>
                <w:sz w:val="18"/>
              </w:rPr>
              <w:t>Weitergabe</w:t>
            </w:r>
          </w:p>
        </w:tc>
        <w:tc>
          <w:tcPr>
            <w:tcW w:type="dxa" w:w="3213"/>
          </w:tcPr>
          <w:p>
            <w:pPr>
              <w:spacing w:after="0" w:before="0"/>
            </w:pPr>
            <w:r/>
            <w:r>
              <w:rPr>
                <w:b w:val="0"/>
                <w:i w:val="0"/>
                <w:color w:val="1A1A1A"/>
                <w:sz w:val="18"/>
              </w:rPr>
              <w:t>Haben relevante interessierte Parteien das Ergebnis erhalten?</w:t>
            </w:r>
          </w:p>
        </w:tc>
        <w:tc>
          <w:tcPr>
            <w:tcW w:type="dxa" w:w="3213"/>
          </w:tcPr>
          <w:p>
            <w:pPr>
              <w:spacing w:after="0" w:before="0"/>
            </w:pPr>
            <w:r/>
            <w:r>
              <w:rPr>
                <w:b w:val="0"/>
                <w:i w:val="0"/>
                <w:color w:val="1A1A1A"/>
                <w:sz w:val="18"/>
              </w:rPr>
              <w:t>Empfänger auswählen</w:t>
            </w:r>
          </w:p>
        </w:tc>
      </w:tr>
      <w:tr>
        <w:trPr>
          <w:cantSplit w:val="true"/>
        </w:trPr>
        <w:tc>
          <w:tcPr>
            <w:tcW w:type="dxa" w:w="3213"/>
            <w:shd w:val="clear" w:color="auto" w:fill="F3EFE6"/>
          </w:tcPr>
          <w:p>
            <w:pPr>
              <w:spacing w:after="0" w:before="0"/>
            </w:pPr>
            <w:r/>
            <w:r>
              <w:rPr>
                <w:b w:val="0"/>
                <w:i w:val="0"/>
                <w:color w:val="1A1A1A"/>
                <w:sz w:val="18"/>
              </w:rPr>
              <w:t>Kontext</w:t>
            </w:r>
          </w:p>
        </w:tc>
        <w:tc>
          <w:tcPr>
            <w:tcW w:type="dxa" w:w="3213"/>
            <w:shd w:val="clear" w:color="auto" w:fill="F3EFE6"/>
          </w:tcPr>
          <w:p>
            <w:pPr>
              <w:spacing w:after="0" w:before="0"/>
            </w:pPr>
            <w:r/>
            <w:r>
              <w:rPr>
                <w:b w:val="0"/>
                <w:i w:val="0"/>
                <w:color w:val="1A1A1A"/>
                <w:sz w:val="18"/>
              </w:rPr>
              <w:t>Kommt an, was das Kontextpapier als relevant bestimmt?</w:t>
            </w:r>
          </w:p>
        </w:tc>
        <w:tc>
          <w:tcPr>
            <w:tcW w:type="dxa" w:w="3213"/>
            <w:shd w:val="clear" w:color="auto" w:fill="F3EFE6"/>
          </w:tcPr>
          <w:p>
            <w:pPr>
              <w:spacing w:after="0" w:before="0"/>
            </w:pPr>
            <w:r/>
            <w:r>
              <w:rPr>
                <w:b w:val="0"/>
                <w:i w:val="0"/>
                <w:color w:val="1A1A1A"/>
                <w:sz w:val="18"/>
              </w:rPr>
              <w:t>Themen hinzufügen</w:t>
            </w:r>
          </w:p>
        </w:tc>
      </w:tr>
    </w:tbl>
    <w:p>
      <w:pPr>
        <w:spacing w:after="40"/>
      </w:pPr>
    </w:p>
    <w:p>
      <w:pPr>
        <w:pStyle w:val="Heading2"/>
      </w:pPr>
      <w:r>
        <w:t>Praktische Anwendung: ein Themenregister in sieben Schritten prüfen</w:t>
      </w:r>
    </w:p>
    <w:p>
      <w:pPr>
        <w:tabs>
          <w:tab w:pos="340" w:val="left"/>
        </w:tabs>
        <w:ind w:left="340" w:hanging="340"/>
      </w:pPr>
      <w:r>
        <w:rPr>
          <w:b/>
          <w:color w:val="8C5A2B"/>
        </w:rPr>
        <w:t>1.</w:t>
        <w:tab/>
      </w:r>
      <w:r>
        <w:rPr>
          <w:b/>
        </w:rPr>
        <w:t>Das Verfahren anfordern, nicht nur das Register.</w:t>
      </w:r>
      <w:r>
        <w:t xml:space="preserve"> Verfahrensblatt, Kriterienblatt, Rückmeldungen, alle Fassungen, Verteilerliste. Was fehlt, ist schon ein Ergebnis.</w:t>
      </w:r>
    </w:p>
    <w:p>
      <w:pPr>
        <w:tabs>
          <w:tab w:pos="340" w:val="left"/>
        </w:tabs>
        <w:ind w:left="340" w:hanging="340"/>
      </w:pPr>
      <w:r>
        <w:rPr>
          <w:b/>
          <w:color w:val="8C5A2B"/>
        </w:rPr>
        <w:t>2.</w:t>
        <w:tab/>
      </w:r>
      <w:r>
        <w:rPr>
          <w:b/>
        </w:rPr>
        <w:t>Die Kriterien an 6.1.2 messen.</w:t>
      </w:r>
      <w:r>
        <w:t xml:space="preserve"> Sind Rückmeldungen, neue und aufkommende Themen und, wo zutreffend, Forschung darin? Ist erkennbar, was jede Stufe bedeutet?</w:t>
      </w:r>
    </w:p>
    <w:p>
      <w:pPr>
        <w:tabs>
          <w:tab w:pos="340" w:val="left"/>
        </w:tabs>
        <w:ind w:left="340" w:hanging="340"/>
      </w:pPr>
      <w:r>
        <w:rPr>
          <w:b/>
          <w:color w:val="8C5A2B"/>
        </w:rPr>
        <w:t>3.</w:t>
        <w:tab/>
      </w:r>
      <w:r>
        <w:rPr>
          <w:b/>
        </w:rPr>
        <w:t>Zeilen ziehen lassen.</w:t>
      </w:r>
      <w:r>
        <w:t xml:space="preserve"> Wer das Register führt, wählt nicht aus. Unter den gezogenen ist mindestens ein beeinflussbares Thema und eines, zu dem es eine Rückmeldung gibt.</w:t>
      </w:r>
    </w:p>
    <w:p>
      <w:pPr>
        <w:tabs>
          <w:tab w:pos="340" w:val="left"/>
        </w:tabs>
        <w:ind w:left="340" w:hanging="340"/>
      </w:pPr>
      <w:r>
        <w:rPr>
          <w:b/>
          <w:color w:val="8C5A2B"/>
        </w:rPr>
        <w:t>4.</w:t>
        <w:tab/>
      </w:r>
      <w:r>
        <w:rPr>
          <w:b/>
        </w:rPr>
        <w:t>Jede Zeile zurückverfolgen.</w:t>
      </w:r>
      <w:r>
        <w:t xml:space="preserve"> Wer hat bewertet, wann, nach welchem Kriterium, mit welcher Quelle? Ein Datum allein ist keine Begründung.</w:t>
      </w:r>
    </w:p>
    <w:p>
      <w:pPr>
        <w:tabs>
          <w:tab w:pos="340" w:val="left"/>
        </w:tabs>
        <w:ind w:left="340" w:hanging="340"/>
      </w:pPr>
      <w:r>
        <w:rPr>
          <w:b/>
          <w:color w:val="8C5A2B"/>
        </w:rPr>
        <w:t>5.</w:t>
        <w:tab/>
      </w:r>
      <w:r>
        <w:rPr>
          <w:b/>
        </w:rPr>
        <w:t>Rückmeldungen vorwärts verfolgen.</w:t>
      </w:r>
      <w:r>
        <w:t xml:space="preserve"> Nehmen Sie jede Rückmeldung aus dem Ordner und suchen Sie die Zeile, in die sie eingegangen ist.</w:t>
      </w:r>
    </w:p>
    <w:p>
      <w:pPr>
        <w:tabs>
          <w:tab w:pos="340" w:val="left"/>
        </w:tabs>
        <w:ind w:left="340" w:hanging="340"/>
      </w:pPr>
      <w:r>
        <w:rPr>
          <w:b/>
          <w:color w:val="8C5A2B"/>
        </w:rPr>
        <w:t>6.</w:t>
        <w:tab/>
      </w:r>
      <w:r>
        <w:rPr>
          <w:b/>
        </w:rPr>
        <w:t>Ein Ereignis gegen das Register halten.</w:t>
      </w:r>
      <w:r>
        <w:t xml:space="preserve"> Wählen Sie ein besonderes Ereignis seit der letzten Fassung und fragen Sie, ob danach geprüft wurde, was sich ändert.</w:t>
      </w:r>
    </w:p>
    <w:p>
      <w:pPr>
        <w:tabs>
          <w:tab w:pos="340" w:val="left"/>
        </w:tabs>
        <w:ind w:left="340" w:hanging="340"/>
      </w:pPr>
      <w:r>
        <w:rPr>
          <w:b/>
          <w:color w:val="8C5A2B"/>
        </w:rPr>
        <w:t>7.</w:t>
        <w:tab/>
      </w:r>
      <w:r>
        <w:rPr>
          <w:b/>
        </w:rPr>
        <w:t>Nicht neu bewerten.</w:t>
      </w:r>
      <w:r>
        <w:t xml:space="preserve"> Schreiben Sie Feststellungen zum Verfahren, nicht zur Stufe. Ob eine Zeile höher stehen müsste, entscheidet das Haus.</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Verfahren anfordern, nicht nur das Register</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Kriterien an 6.1.2 messen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Zeilen ziehen lassen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Jede Zeile zurückverfolgen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Rückmeldungen vorwärts verfolgen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Ein Ereignis gegen das Register halten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Nicht neu bewerten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Gibt es ein Verfahrensblatt, das sagt, wer das Register führt und wann es fortgeschrieben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Enthält das Kriterienblatt Rückmeldungen, neue und aufkommende Themen und, wo zutreffend, Forschung?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Lässt sich für jede Zeile zeigen, warum sie auf ihrer Stufe steht?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gesammelte Rückmeldung eine Nummer und einen Verweis auf eine Zeile?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Wurde das Register nach dem letzten besonderen Ereignis überprüft?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Kommt im Register an, was das Kontextpapier als relevant bestimmt?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wir, welche interessierten Parteien das Register erhalten haben, und wann?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Prüft jemand das Register, der es nicht selbst führt?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Alles auf mittel setzen.</w:t>
      </w:r>
      <w:r>
        <w:t xml:space="preserve"> Nichts wird übersehen, und nichts wird unterschieden.</w:t>
      </w:r>
    </w:p>
    <w:p>
      <w:pPr>
        <w:tabs>
          <w:tab w:pos="340" w:val="left"/>
        </w:tabs>
        <w:ind w:left="340" w:hanging="340"/>
      </w:pPr>
      <w:r>
        <w:rPr>
          <w:color w:val="8C5A2B"/>
        </w:rPr>
        <w:t>–</w:t>
        <w:tab/>
      </w:r>
      <w:r>
        <w:rPr>
          <w:b/>
        </w:rPr>
        <w:t>Ein Datum als Begründung schreiben.</w:t>
      </w:r>
      <w:r>
        <w:t xml:space="preserve"> Es sagt, wann bewertet wurde, nicht warum.</w:t>
      </w:r>
    </w:p>
    <w:p>
      <w:pPr>
        <w:tabs>
          <w:tab w:pos="340" w:val="left"/>
        </w:tabs>
        <w:ind w:left="340" w:hanging="340"/>
      </w:pPr>
      <w:r>
        <w:rPr>
          <w:color w:val="8C5A2B"/>
        </w:rPr>
        <w:t>–</w:t>
        <w:tab/>
      </w:r>
      <w:r>
        <w:rPr>
          <w:b/>
        </w:rPr>
        <w:t>Rückmeldungen sammeln, ohne sie zuzuordnen.</w:t>
      </w:r>
      <w:r>
        <w:t xml:space="preserve"> Der Ordner ist voll, das Register unverändert.</w:t>
      </w:r>
    </w:p>
    <w:p>
      <w:pPr>
        <w:tabs>
          <w:tab w:pos="340" w:val="left"/>
        </w:tabs>
        <w:ind w:left="340" w:hanging="340"/>
      </w:pPr>
      <w:r>
        <w:rPr>
          <w:color w:val="8C5A2B"/>
        </w:rPr>
        <w:t>–</w:t>
        <w:tab/>
      </w:r>
      <w:r>
        <w:rPr>
          <w:b/>
        </w:rPr>
        <w:t>Nach einem Ereignis nur die Nacht bewältigen.</w:t>
      </w:r>
      <w:r>
        <w:t xml:space="preserve"> Die Lehre gehört auch ins Register.</w:t>
      </w:r>
    </w:p>
    <w:p>
      <w:pPr>
        <w:tabs>
          <w:tab w:pos="340" w:val="left"/>
        </w:tabs>
        <w:ind w:left="340" w:hanging="340"/>
      </w:pPr>
      <w:r>
        <w:rPr>
          <w:color w:val="8C5A2B"/>
        </w:rPr>
        <w:t>–</w:t>
        <w:tab/>
      </w:r>
      <w:r>
        <w:rPr>
          <w:b/>
        </w:rPr>
        <w:t>Als Auditor die Stufe korrigieren.</w:t>
      </w:r>
      <w:r>
        <w:t xml:space="preserve"> Wer selbst bewertet, prüft im nächsten Jahr die eigene Arbeit.</w:t>
      </w:r>
    </w:p>
    <w:p>
      <w:pPr>
        <w:tabs>
          <w:tab w:pos="340" w:val="left"/>
        </w:tabs>
        <w:ind w:left="340" w:hanging="340"/>
      </w:pPr>
      <w:r>
        <w:rPr>
          <w:color w:val="8C5A2B"/>
        </w:rPr>
        <w:t>–</w:t>
        <w:tab/>
      </w:r>
      <w:r>
        <w:rPr>
          <w:b/>
        </w:rPr>
        <w:t>Im Kreuzaudit milde prüfen.</w:t>
      </w:r>
      <w:r>
        <w:t xml:space="preserve"> Wer im nächsten Monat selbst geprüft wird, braucht eine Regel für die Berichte.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Audit vor Ort</w:t>
            </w:r>
          </w:p>
        </w:tc>
        <w:tc>
          <w:tcPr>
            <w:tcW w:type="dxa" w:w="1474"/>
          </w:tcPr>
          <w:p>
            <w:pPr>
              <w:spacing w:after="0" w:before="0"/>
            </w:pPr>
            <w:r/>
            <w:r>
              <w:rPr>
                <w:b w:val="0"/>
                <w:i w:val="0"/>
                <w:color w:val="1A1A1A"/>
                <w:sz w:val="18"/>
              </w:rPr>
              <w:t>8 Stunden</w:t>
            </w:r>
          </w:p>
        </w:tc>
        <w:tc>
          <w:tcPr>
            <w:tcW w:type="dxa" w:w="3175"/>
          </w:tcPr>
          <w:p>
            <w:pPr>
              <w:spacing w:after="0" w:before="0"/>
            </w:pPr>
            <w:r/>
            <w:r>
              <w:rPr>
                <w:b w:val="0"/>
                <w:i w:val="0"/>
                <w:color w:val="1A1A1A"/>
                <w:sz w:val="18"/>
              </w:rPr>
              <w:t>Auditorin aus dem Schwesterhaus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Fahrt Luzern–Davos und zurück</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Arbeitszeit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Bericht</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Auditorin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Interne Stunden: 17 zu CHF 62</w:t>
            </w:r>
          </w:p>
        </w:tc>
        <w:tc>
          <w:tcPr>
            <w:tcW w:type="dxa" w:w="1474"/>
            <w:shd w:val="clear" w:color="auto" w:fill="F3EFE6"/>
          </w:tcPr>
          <w:p>
            <w:pPr>
              <w:spacing w:after="0" w:before="0"/>
            </w:pPr>
            <w:r/>
            <w:r>
              <w:rPr>
                <w:b w:val="0"/>
                <w:i w:val="0"/>
                <w:color w:val="1A1A1A"/>
                <w:sz w:val="18"/>
              </w:rPr>
              <w:t>CHF 1.054</w:t>
            </w:r>
          </w:p>
        </w:tc>
        <w:tc>
          <w:tcPr>
            <w:tcW w:type="dxa" w:w="3175"/>
            <w:shd w:val="clear" w:color="auto" w:fill="F3EFE6"/>
          </w:tcPr>
          <w:p>
            <w:pPr>
              <w:spacing w:after="0" w:before="0"/>
            </w:pPr>
            <w:r/>
            <w:r>
              <w:rPr>
                <w:b w:val="0"/>
                <w:i w:val="0"/>
                <w:color w:val="1A1A1A"/>
                <w:sz w:val="18"/>
              </w:rPr>
              <w:t>interner Stundensatz als Annahme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Bahnfahrt</w:t>
            </w:r>
          </w:p>
        </w:tc>
        <w:tc>
          <w:tcPr>
            <w:tcW w:type="dxa" w:w="1474"/>
          </w:tcPr>
          <w:p>
            <w:pPr>
              <w:spacing w:after="0" w:before="0"/>
            </w:pPr>
            <w:r/>
            <w:r>
              <w:rPr>
                <w:b w:val="0"/>
                <w:i w:val="0"/>
                <w:color w:val="1A1A1A"/>
                <w:sz w:val="18"/>
              </w:rPr>
              <w:t>CHF 140</w:t>
            </w:r>
          </w:p>
        </w:tc>
        <w:tc>
          <w:tcPr>
            <w:tcW w:type="dxa" w:w="3175"/>
          </w:tcPr>
          <w:p>
            <w:pPr>
              <w:spacing w:after="0" w:before="0"/>
            </w:pPr>
            <w:r/>
            <w:r>
              <w:rPr>
                <w:b w:val="0"/>
                <w:i w:val="0"/>
                <w:color w:val="1A1A1A"/>
                <w:sz w:val="18"/>
              </w:rPr>
              <w:t>Hin- und Rückfahrt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Register überarbeiten: 38 Zeilen zu 20 Minuten</w:t>
            </w:r>
          </w:p>
        </w:tc>
        <w:tc>
          <w:tcPr>
            <w:tcW w:type="dxa" w:w="1474"/>
            <w:shd w:val="clear" w:color="auto" w:fill="F3EFE6"/>
          </w:tcPr>
          <w:p>
            <w:pPr>
              <w:spacing w:after="0" w:before="0"/>
            </w:pPr>
            <w:r/>
            <w:r>
              <w:rPr>
                <w:b w:val="0"/>
                <w:i w:val="0"/>
                <w:color w:val="1A1A1A"/>
                <w:sz w:val="18"/>
              </w:rPr>
              <w:t>12 Stunden 40 Minuten</w:t>
            </w:r>
          </w:p>
        </w:tc>
        <w:tc>
          <w:tcPr>
            <w:tcW w:type="dxa" w:w="3175"/>
            <w:shd w:val="clear" w:color="auto" w:fill="F3EFE6"/>
          </w:tcPr>
          <w:p>
            <w:pPr>
              <w:spacing w:after="0" w:before="0"/>
            </w:pPr>
            <w:r/>
            <w:r>
              <w:rPr>
                <w:b w:val="0"/>
                <w:i w:val="0"/>
                <w:color w:val="1A1A1A"/>
                <w:sz w:val="18"/>
              </w:rPr>
              <w:t>einmalig; Nachhaltigkeitsverantwortlicher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Umsatz des Januarkongresses</w:t>
            </w:r>
          </w:p>
        </w:tc>
        <w:tc>
          <w:tcPr>
            <w:tcW w:type="dxa" w:w="1474"/>
          </w:tcPr>
          <w:p>
            <w:pPr>
              <w:spacing w:after="0" w:before="0"/>
            </w:pPr>
            <w:r/>
            <w:r>
              <w:rPr>
                <w:b w:val="0"/>
                <w:i w:val="0"/>
                <w:color w:val="1A1A1A"/>
                <w:sz w:val="18"/>
              </w:rPr>
              <w:t>CHF 410.000</w:t>
            </w:r>
          </w:p>
        </w:tc>
        <w:tc>
          <w:tcPr>
            <w:tcW w:type="dxa" w:w="3175"/>
          </w:tcPr>
          <w:p>
            <w:pPr>
              <w:spacing w:after="0" w:before="0"/>
            </w:pPr>
            <w:r/>
            <w:r>
              <w:rPr>
                <w:b w:val="0"/>
                <w:i w:val="0"/>
                <w:color w:val="1A1A1A"/>
                <w:sz w:val="18"/>
              </w:rPr>
              <w:t>Zimmer, Räume, Verpflegung; Umsatz, nicht Gewinn</w:t>
            </w:r>
          </w:p>
        </w:tc>
        <w:tc>
          <w:tcPr>
            <w:tcW w:type="dxa" w:w="1814"/>
          </w:tcPr>
          <w:p>
            <w:pPr>
              <w:spacing w:after="0" w:before="0"/>
            </w:pPr>
            <w:r/>
            <w:r>
              <w:rPr>
                <w:b w:val="0"/>
                <w:i w:val="0"/>
                <w:color w:val="1A1A1A"/>
                <w:sz w:val="18"/>
              </w:rPr>
            </w:r>
          </w:p>
        </w:tc>
      </w:tr>
    </w:tbl>
    <w:p>
      <w:pPr>
        <w:spacing w:after="40"/>
      </w:pPr>
    </w:p>
    <w:p>
      <w:r>
        <w:rPr>
          <w:b w:val="0"/>
          <w:i w:val="0"/>
        </w:rPr>
        <w:t>Die letzte Zeile ist kein Schaden und kein Ertrag des Audits. Sie zeigt, worum es bei dem Brief der Kongressagentur geht: Der nächste Kongress verlangt einen Plan für Naturgefahren, und ein Haus, dessen Register davon nichts weiss, wird ihn aus dem Gedächtnis schreiben. Siebzehn Stunden Audit und knapp dreizehn Stunden Überarbeitung stehen daneben, in Stunden gemessen und nicht in Franken verrechnet.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Prozess zum Identifizieren und Bewerten (6.1.2)</w:t>
            </w:r>
          </w:p>
        </w:tc>
        <w:tc>
          <w:tcPr>
            <w:tcW w:type="dxa" w:w="3175"/>
          </w:tcPr>
          <w:p>
            <w:pPr>
              <w:spacing w:after="0" w:before="0"/>
            </w:pPr>
            <w:r/>
            <w:r>
              <w:rPr>
                <w:b w:val="0"/>
                <w:i w:val="0"/>
                <w:color w:val="1A1A1A"/>
                <w:sz w:val="18"/>
              </w:rPr>
              <w:t>Verfahrensblatt mit Beteiligten, Anlässen, Fortschreibung</w:t>
            </w:r>
          </w:p>
        </w:tc>
        <w:tc>
          <w:tcPr>
            <w:tcW w:type="dxa" w:w="3175"/>
          </w:tcPr>
          <w:p>
            <w:pPr>
              <w:spacing w:after="0" w:before="0"/>
            </w:pPr>
            <w:r/>
            <w:r>
              <w:rPr>
                <w:b w:val="0"/>
                <w:i w:val="0"/>
                <w:color w:val="1A1A1A"/>
                <w:sz w:val="18"/>
              </w:rPr>
              <w:t>A.10: Methode für direkte und indirekte Themen</w:t>
            </w:r>
          </w:p>
        </w:tc>
      </w:tr>
      <w:tr>
        <w:trPr>
          <w:cantSplit w:val="true"/>
        </w:trPr>
        <w:tc>
          <w:tcPr>
            <w:tcW w:type="dxa" w:w="3288"/>
            <w:shd w:val="clear" w:color="auto" w:fill="F3EFE6"/>
          </w:tcPr>
          <w:p>
            <w:pPr>
              <w:spacing w:after="0" w:before="0"/>
            </w:pPr>
            <w:r/>
            <w:r>
              <w:rPr>
                <w:b w:val="0"/>
                <w:i w:val="0"/>
                <w:color w:val="1A1A1A"/>
                <w:sz w:val="18"/>
              </w:rPr>
              <w:t>Kriterien dokumentiert, mit Rückmeldungen, neuen Themen, Forschung wo zutreffend (6.1.2)</w:t>
            </w:r>
          </w:p>
        </w:tc>
        <w:tc>
          <w:tcPr>
            <w:tcW w:type="dxa" w:w="3175"/>
            <w:shd w:val="clear" w:color="auto" w:fill="F3EFE6"/>
          </w:tcPr>
          <w:p>
            <w:pPr>
              <w:spacing w:after="0" w:before="0"/>
            </w:pPr>
            <w:r/>
            <w:r>
              <w:rPr>
                <w:b w:val="0"/>
                <w:i w:val="0"/>
                <w:color w:val="1A1A1A"/>
                <w:sz w:val="18"/>
              </w:rPr>
              <w:t>Kriterienblatt mit allen Bestandteilen</w:t>
            </w:r>
          </w:p>
        </w:tc>
        <w:tc>
          <w:tcPr>
            <w:tcW w:type="dxa" w:w="3175"/>
            <w:shd w:val="clear" w:color="auto" w:fill="F3EFE6"/>
          </w:tcPr>
          <w:p>
            <w:pPr>
              <w:spacing w:after="0" w:before="0"/>
            </w:pPr>
            <w:r/>
            <w:r>
              <w:rPr>
                <w:b w:val="0"/>
                <w:i w:val="0"/>
                <w:color w:val="1A1A1A"/>
                <w:sz w:val="18"/>
              </w:rPr>
              <w:t>C.2.2: fünf Kriterien; Anker je Stufe (Band 8a, 2.5)</w:t>
            </w:r>
          </w:p>
        </w:tc>
      </w:tr>
      <w:tr>
        <w:trPr>
          <w:cantSplit w:val="true"/>
        </w:trPr>
        <w:tc>
          <w:tcPr>
            <w:tcW w:type="dxa" w:w="3288"/>
          </w:tcPr>
          <w:p>
            <w:pPr>
              <w:spacing w:after="0" w:before="0"/>
            </w:pPr>
            <w:r/>
            <w:r>
              <w:rPr>
                <w:b w:val="0"/>
                <w:i w:val="0"/>
                <w:color w:val="1A1A1A"/>
                <w:sz w:val="18"/>
              </w:rPr>
              <w:t>Auch beeinflussbare Themen (6.1.2)</w:t>
            </w:r>
          </w:p>
        </w:tc>
        <w:tc>
          <w:tcPr>
            <w:tcW w:type="dxa" w:w="3175"/>
          </w:tcPr>
          <w:p>
            <w:pPr>
              <w:spacing w:after="0" w:before="0"/>
            </w:pPr>
            <w:r/>
            <w:r>
              <w:rPr>
                <w:b w:val="0"/>
                <w:i w:val="0"/>
                <w:color w:val="1A1A1A"/>
                <w:sz w:val="18"/>
              </w:rPr>
              <w:t>Spalte steuerbar oder beeinflussbar</w:t>
            </w:r>
          </w:p>
        </w:tc>
        <w:tc>
          <w:tcPr>
            <w:tcW w:type="dxa" w:w="3175"/>
          </w:tcPr>
          <w:p>
            <w:pPr>
              <w:spacing w:after="0" w:before="0"/>
            </w:pPr>
            <w:r/>
            <w:r>
              <w:rPr>
                <w:b w:val="0"/>
                <w:i w:val="0"/>
                <w:color w:val="1A1A1A"/>
                <w:sz w:val="18"/>
              </w:rPr>
              <w:t>A.10: dritte Gruppe «weder noch, aber bedeutend»</w:t>
            </w:r>
          </w:p>
        </w:tc>
      </w:tr>
      <w:tr>
        <w:trPr>
          <w:cantSplit w:val="true"/>
        </w:trPr>
        <w:tc>
          <w:tcPr>
            <w:tcW w:type="dxa" w:w="3288"/>
            <w:shd w:val="clear" w:color="auto" w:fill="F3EFE6"/>
          </w:tcPr>
          <w:p>
            <w:pPr>
              <w:spacing w:after="0" w:before="0"/>
            </w:pPr>
            <w:r/>
            <w:r>
              <w:rPr>
                <w:b w:val="0"/>
                <w:i w:val="0"/>
                <w:color w:val="1A1A1A"/>
                <w:sz w:val="18"/>
              </w:rPr>
              <w:t>Ergebnisse dokumentiert, aktuell, geteilt (6.1.2)</w:t>
            </w:r>
          </w:p>
        </w:tc>
        <w:tc>
          <w:tcPr>
            <w:tcW w:type="dxa" w:w="3175"/>
            <w:shd w:val="clear" w:color="auto" w:fill="F3EFE6"/>
          </w:tcPr>
          <w:p>
            <w:pPr>
              <w:spacing w:after="0" w:before="0"/>
            </w:pPr>
            <w:r/>
            <w:r>
              <w:rPr>
                <w:b w:val="0"/>
                <w:i w:val="0"/>
                <w:color w:val="1A1A1A"/>
                <w:sz w:val="18"/>
              </w:rPr>
              <w:t>Register mit Fassungen; Verteilerliste; Versandnachweis</w:t>
            </w:r>
          </w:p>
        </w:tc>
        <w:tc>
          <w:tcPr>
            <w:tcW w:type="dxa" w:w="3175"/>
            <w:shd w:val="clear" w:color="auto" w:fill="F3EFE6"/>
          </w:tcPr>
          <w:p>
            <w:pPr>
              <w:spacing w:after="0" w:before="0"/>
            </w:pPr>
            <w:r/>
            <w:r>
              <w:rPr>
                <w:b w:val="0"/>
                <w:i w:val="0"/>
                <w:color w:val="1A1A1A"/>
                <w:sz w:val="18"/>
              </w:rPr>
              <w:t>Methode: Fortschreibung nach Ereignis binnen eines Monats</w:t>
            </w:r>
          </w:p>
        </w:tc>
      </w:tr>
      <w:tr>
        <w:trPr>
          <w:cantSplit w:val="true"/>
        </w:trPr>
        <w:tc>
          <w:tcPr>
            <w:tcW w:type="dxa" w:w="3288"/>
          </w:tcPr>
          <w:p>
            <w:pPr>
              <w:spacing w:after="0" w:before="0"/>
            </w:pPr>
            <w:r/>
            <w:r>
              <w:rPr>
                <w:b w:val="0"/>
                <w:i w:val="0"/>
                <w:color w:val="1A1A1A"/>
                <w:sz w:val="18"/>
              </w:rPr>
              <w:t>Klimawandel als relevant bestimmen oder nicht (4.1)</w:t>
            </w:r>
          </w:p>
        </w:tc>
        <w:tc>
          <w:tcPr>
            <w:tcW w:type="dxa" w:w="3175"/>
          </w:tcPr>
          <w:p>
            <w:pPr>
              <w:spacing w:after="0" w:before="0"/>
            </w:pPr>
            <w:r/>
            <w:r>
              <w:rPr>
                <w:b w:val="0"/>
                <w:i w:val="0"/>
                <w:color w:val="1A1A1A"/>
                <w:sz w:val="18"/>
              </w:rPr>
              <w:t>Kontextpapier mit Entscheidung</w:t>
            </w:r>
          </w:p>
        </w:tc>
        <w:tc>
          <w:tcPr>
            <w:tcW w:type="dxa" w:w="3175"/>
          </w:tcPr>
          <w:p>
            <w:pPr>
              <w:spacing w:after="0" w:before="0"/>
            </w:pPr>
            <w:r/>
            <w:r>
              <w:rPr>
                <w:b w:val="0"/>
                <w:i w:val="0"/>
                <w:color w:val="1A1A1A"/>
                <w:sz w:val="18"/>
              </w:rPr>
              <w:t>6.1.2: Klimawandel, Resilienz als mögliche Themen</w:t>
            </w:r>
          </w:p>
        </w:tc>
      </w:tr>
      <w:tr>
        <w:trPr>
          <w:cantSplit w:val="true"/>
        </w:trPr>
        <w:tc>
          <w:tcPr>
            <w:tcW w:type="dxa" w:w="3288"/>
            <w:shd w:val="clear" w:color="auto" w:fill="F3EFE6"/>
          </w:tcPr>
          <w:p>
            <w:pPr>
              <w:spacing w:after="0" w:before="0"/>
            </w:pPr>
            <w:r/>
            <w:r>
              <w:rPr>
                <w:b w:val="0"/>
                <w:i w:val="0"/>
                <w:color w:val="1A1A1A"/>
                <w:sz w:val="18"/>
              </w:rPr>
              <w:t>Parteien einbeziehen; Ergebnisse dokumentieren, wo angemessen (4.2)</w:t>
            </w:r>
          </w:p>
        </w:tc>
        <w:tc>
          <w:tcPr>
            <w:tcW w:type="dxa" w:w="3175"/>
            <w:shd w:val="clear" w:color="auto" w:fill="F3EFE6"/>
          </w:tcPr>
          <w:p>
            <w:pPr>
              <w:spacing w:after="0" w:before="0"/>
            </w:pPr>
            <w:r/>
            <w:r>
              <w:rPr>
                <w:b w:val="0"/>
                <w:i w:val="0"/>
                <w:color w:val="1A1A1A"/>
                <w:sz w:val="18"/>
              </w:rPr>
              <w:t>nummerierte Rückmeldungen mit Verweis auf Zeilen</w:t>
            </w:r>
          </w:p>
        </w:tc>
        <w:tc>
          <w:tcPr>
            <w:tcW w:type="dxa" w:w="3175"/>
            <w:shd w:val="clear" w:color="auto" w:fill="F3EFE6"/>
          </w:tcPr>
          <w:p>
            <w:pPr>
              <w:spacing w:after="0" w:before="0"/>
            </w:pPr>
            <w:r/>
            <w:r>
              <w:rPr>
                <w:b w:val="0"/>
                <w:i w:val="0"/>
                <w:color w:val="1A1A1A"/>
                <w:sz w:val="18"/>
              </w:rPr>
              <w:t>Methode: Rückmeldungen vorwärts verfolgen</w:t>
            </w:r>
          </w:p>
        </w:tc>
      </w:tr>
    </w:tbl>
    <w:p>
      <w:pPr>
        <w:spacing w:after="40"/>
      </w:pPr>
    </w:p>
    <w:p>
      <w:pPr>
        <w:pStyle w:val="Heading2"/>
      </w:pPr>
      <w:r>
        <w:t>DACH-Anker: wo Begründungen im Register auf Recht treffen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Lärm bei Abendveranstaltungen</w:t>
            </w:r>
          </w:p>
        </w:tc>
        <w:tc>
          <w:tcPr>
            <w:tcW w:type="dxa" w:w="2721"/>
          </w:tcPr>
          <w:p>
            <w:pPr>
              <w:spacing w:after="0" w:before="0"/>
            </w:pPr>
            <w:r/>
            <w:r>
              <w:rPr>
                <w:b w:val="0"/>
                <w:i w:val="0"/>
                <w:color w:val="1A1A1A"/>
                <w:sz w:val="17"/>
              </w:rPr>
              <w:t>Landes- und Gemeinderecht</w:t>
            </w:r>
          </w:p>
        </w:tc>
        <w:tc>
          <w:tcPr>
            <w:tcW w:type="dxa" w:w="2721"/>
          </w:tcPr>
          <w:p>
            <w:pPr>
              <w:spacing w:after="0" w:before="0"/>
            </w:pPr>
            <w:r/>
            <w:r>
              <w:rPr>
                <w:b w:val="0"/>
                <w:i w:val="0"/>
                <w:color w:val="1A1A1A"/>
                <w:sz w:val="17"/>
              </w:rPr>
              <w:t>Landes- und Gemeinderecht</w:t>
            </w:r>
          </w:p>
        </w:tc>
        <w:tc>
          <w:tcPr>
            <w:tcW w:type="dxa" w:w="2721"/>
          </w:tcPr>
          <w:p>
            <w:pPr>
              <w:spacing w:after="0" w:before="0"/>
            </w:pPr>
            <w:r/>
            <w:r>
              <w:rPr>
                <w:b w:val="0"/>
                <w:i w:val="0"/>
                <w:color w:val="1A1A1A"/>
                <w:sz w:val="17"/>
              </w:rPr>
              <w:t>V-NISSG: bei mehr als 93 dB(A) im Stundenmittel Pflichten zum Schutz des Publikums, Meldung mindestens 14 Tage vorher (Band 8a, 2.5)</w:t>
            </w:r>
          </w:p>
        </w:tc>
      </w:tr>
      <w:tr>
        <w:trPr>
          <w:cantSplit w:val="true"/>
        </w:trPr>
        <w:tc>
          <w:tcPr>
            <w:tcW w:type="dxa" w:w="1474"/>
            <w:shd w:val="clear" w:color="auto" w:fill="F3EFE6"/>
          </w:tcPr>
          <w:p>
            <w:pPr>
              <w:spacing w:after="0" w:before="0"/>
            </w:pPr>
            <w:r/>
            <w:r>
              <w:rPr>
                <w:b w:val="0"/>
                <w:i w:val="0"/>
                <w:color w:val="1A1A1A"/>
                <w:sz w:val="17"/>
              </w:rPr>
              <w:t>Speisereste</w:t>
            </w:r>
          </w:p>
        </w:tc>
        <w:tc>
          <w:tcPr>
            <w:tcW w:type="dxa" w:w="2721"/>
            <w:shd w:val="clear" w:color="auto" w:fill="F3EFE6"/>
          </w:tcPr>
          <w:p>
            <w:pPr>
              <w:spacing w:after="0" w:before="0"/>
            </w:pPr>
            <w:r/>
            <w:r>
              <w:rPr>
                <w:b w:val="0"/>
                <w:i w:val="0"/>
                <w:color w:val="1A1A1A"/>
                <w:sz w:val="17"/>
              </w:rPr>
              <w:t>Richtlinie (EU) 2025/1892, Umsetzung bis 17. Juni 2027 (Band 8a, 2.5)</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Aktionsplan des Bundesrats vom 6. April 2022; Branchenvereinbarung vom 12. Mai 2022 (Band 8a, 2.5)</w:t>
            </w:r>
          </w:p>
        </w:tc>
      </w:tr>
      <w:tr>
        <w:trPr>
          <w:cantSplit w:val="true"/>
        </w:trPr>
        <w:tc>
          <w:tcPr>
            <w:tcW w:type="dxa" w:w="1474"/>
          </w:tcPr>
          <w:p>
            <w:pPr>
              <w:spacing w:after="0" w:before="0"/>
            </w:pPr>
            <w:r/>
            <w:r>
              <w:rPr>
                <w:b w:val="0"/>
                <w:i w:val="0"/>
                <w:color w:val="1A1A1A"/>
                <w:sz w:val="17"/>
              </w:rPr>
              <w:t>Saisonkräfte</w:t>
            </w:r>
          </w:p>
        </w:tc>
        <w:tc>
          <w:tcPr>
            <w:tcW w:type="dxa" w:w="2721"/>
          </w:tcPr>
          <w:p>
            <w:pPr>
              <w:spacing w:after="0" w:before="0"/>
            </w:pPr>
            <w:r/>
            <w:r>
              <w:rPr>
                <w:b w:val="0"/>
                <w:i w:val="0"/>
                <w:color w:val="1A1A1A"/>
                <w:sz w:val="17"/>
              </w:rPr>
              <w:t>Arbeitszeit- und Tarifrecht</w:t>
            </w:r>
          </w:p>
        </w:tc>
        <w:tc>
          <w:tcPr>
            <w:tcW w:type="dxa" w:w="2721"/>
          </w:tcPr>
          <w:p>
            <w:pPr>
              <w:spacing w:after="0" w:before="0"/>
            </w:pPr>
            <w:r/>
            <w:r>
              <w:rPr>
                <w:b w:val="0"/>
                <w:i w:val="0"/>
                <w:color w:val="1A1A1A"/>
                <w:sz w:val="17"/>
              </w:rPr>
              <w:t>Arbeitszeitrecht und Kollektivvertrag</w:t>
            </w:r>
          </w:p>
        </w:tc>
        <w:tc>
          <w:tcPr>
            <w:tcW w:type="dxa" w:w="2721"/>
          </w:tcPr>
          <w:p>
            <w:pPr>
              <w:spacing w:after="0" w:before="0"/>
            </w:pPr>
            <w:r/>
            <w:r>
              <w:rPr>
                <w:b w:val="0"/>
                <w:i w:val="0"/>
                <w:color w:val="1A1A1A"/>
                <w:sz w:val="17"/>
              </w:rPr>
              <w:t>Landes-Gesamtarbeitsvertrag des Gastgewerbes, auch für Aushilfen und Saisonbetriebe (Band 8a, 2.5)</w:t>
            </w:r>
          </w:p>
        </w:tc>
      </w:tr>
      <w:tr>
        <w:trPr>
          <w:cantSplit w:val="true"/>
        </w:trPr>
        <w:tc>
          <w:tcPr>
            <w:tcW w:type="dxa" w:w="1474"/>
            <w:shd w:val="clear" w:color="auto" w:fill="F3EFE6"/>
          </w:tcPr>
          <w:p>
            <w:pPr>
              <w:spacing w:after="0" w:before="0"/>
            </w:pPr>
            <w:r/>
            <w:r>
              <w:rPr>
                <w:b w:val="0"/>
                <w:i w:val="0"/>
                <w:color w:val="1A1A1A"/>
                <w:sz w:val="17"/>
              </w:rPr>
              <w:t>Rückmeldungen mit Personendaten</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Aussagen über bewertete Themen</w:t>
            </w:r>
          </w:p>
        </w:tc>
        <w:tc>
          <w:tcPr>
            <w:tcW w:type="dxa" w:w="2721"/>
          </w:tcPr>
          <w:p>
            <w:pPr>
              <w:spacing w:after="0" w:before="0"/>
            </w:pPr>
            <w:r/>
            <w:r>
              <w:rPr>
                <w:b w:val="0"/>
                <w:i w:val="0"/>
                <w:color w:val="1A1A1A"/>
                <w:sz w:val="17"/>
              </w:rPr>
              <w:t>UWG, Regeln zu Umweltaussagen ab 27. September 2026, gegenüber Verbrauchern</w:t>
            </w:r>
          </w:p>
        </w:tc>
        <w:tc>
          <w:tcPr>
            <w:tcW w:type="dxa" w:w="2721"/>
          </w:tcPr>
          <w:p>
            <w:pPr>
              <w:spacing w:after="0" w:before="0"/>
            </w:pPr>
            <w:r/>
            <w:r>
              <w:rPr>
                <w:b w:val="0"/>
                <w:i w:val="0"/>
                <w:color w:val="1A1A1A"/>
                <w:sz w:val="17"/>
              </w:rPr>
              <w:t>UWG-Novelle BGBl. I Nr. 58/2026, gegenüber Verbrauchern</w:t>
            </w:r>
          </w:p>
        </w:tc>
        <w:tc>
          <w:tcPr>
            <w:tcW w:type="dxa" w:w="2721"/>
          </w:tcPr>
          <w:p>
            <w:pPr>
              <w:spacing w:after="0" w:before="0"/>
            </w:pPr>
            <w:r/>
            <w:r>
              <w:rPr>
                <w:b w:val="0"/>
                <w:i w:val="0"/>
                <w:color w:val="1A1A1A"/>
                <w:sz w:val="17"/>
              </w:rPr>
              <w:t>Klimaaussagen nach Art. 3 Abs. 1 lit. x UWG, sonst lit. b</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3.9.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3.9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3.9 — Ein Themenregister prüfen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