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w:t>
      </w:r>
    </w:p>
    <w:p>
      <w:pPr>
        <w:pStyle w:val="Heading1"/>
      </w:pPr>
      <w:r>
        <w:t>Eine Zertifizierungsstelle prüfen</w:t>
      </w:r>
    </w:p>
    <w:p>
      <w:pPr>
        <w:spacing w:after="0"/>
      </w:pPr>
      <w:r>
        <w:rPr>
          <w:b w:val="0"/>
          <w:i/>
          <w:color w:val="5A5A5A"/>
        </w:rPr>
        <w:t>Abschnitt 4.1 · Die Zertifizierungsstelle: Akkreditierung, Rolle und Grenzen</w:t>
      </w:r>
    </w:p>
    <w:p>
      <w:pPr>
        <w:spacing w:after="160"/>
      </w:pPr>
      <w:r>
        <w:rPr>
          <w:b w:val="0"/>
          <w:i w:val="0"/>
          <w:color w:val="5A5A5A"/>
          <w:sz w:val="18"/>
        </w:rPr>
        <w:t>Modellfall im Buch: Stuttgart</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auf einem Angebot für Ihre Zertifizierung das Wort «akkreditiert» steht: Wissen Sie, wofür die Stelle akkreditiert ist und wer ihr das bescheinigt hat? Und was erwarten Sie von ihr, ein Urteil über Ihr System oder Hilfe beim Aufbau?</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Wer wen prüft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Ebene</w:t>
            </w:r>
          </w:p>
        </w:tc>
        <w:tc>
          <w:tcPr>
            <w:tcW w:type="dxa" w:w="3213"/>
            <w:shd w:val="clear" w:color="auto" w:fill="8C5A2B"/>
          </w:tcPr>
          <w:p>
            <w:pPr>
              <w:spacing w:after="0" w:before="0"/>
            </w:pPr>
            <w:r/>
            <w:r>
              <w:rPr>
                <w:b/>
                <w:i w:val="0"/>
                <w:color w:val="FFFFFF"/>
                <w:sz w:val="18"/>
              </w:rPr>
              <w:t>Wer prüft</w:t>
            </w:r>
          </w:p>
        </w:tc>
        <w:tc>
          <w:tcPr>
            <w:tcW w:type="dxa" w:w="3213"/>
            <w:shd w:val="clear" w:color="auto" w:fill="8C5A2B"/>
          </w:tcPr>
          <w:p>
            <w:pPr>
              <w:spacing w:after="0" w:before="0"/>
            </w:pPr>
            <w:r/>
            <w:r>
              <w:rPr>
                <w:b/>
                <w:i w:val="0"/>
                <w:color w:val="FFFFFF"/>
                <w:sz w:val="18"/>
              </w:rPr>
              <w:t>Was geprüft wird</w:t>
            </w:r>
          </w:p>
        </w:tc>
      </w:tr>
      <w:tr>
        <w:trPr>
          <w:cantSplit w:val="true"/>
        </w:trPr>
        <w:tc>
          <w:tcPr>
            <w:tcW w:type="dxa" w:w="3213"/>
          </w:tcPr>
          <w:p>
            <w:pPr>
              <w:spacing w:after="0" w:before="0"/>
            </w:pPr>
            <w:r/>
            <w:r>
              <w:rPr>
                <w:b w:val="0"/>
                <w:i w:val="0"/>
                <w:color w:val="1A1A1A"/>
                <w:sz w:val="18"/>
              </w:rPr>
              <w:t>Erste Partei</w:t>
            </w:r>
          </w:p>
        </w:tc>
        <w:tc>
          <w:tcPr>
            <w:tcW w:type="dxa" w:w="3213"/>
          </w:tcPr>
          <w:p>
            <w:pPr>
              <w:spacing w:after="0" w:before="0"/>
            </w:pPr>
            <w:r/>
            <w:r>
              <w:rPr>
                <w:b w:val="0"/>
                <w:i w:val="0"/>
                <w:color w:val="1A1A1A"/>
                <w:sz w:val="18"/>
              </w:rPr>
              <w:t>das Haus selbst, im internen Audit und in der Managementbewertung</w:t>
            </w:r>
          </w:p>
        </w:tc>
        <w:tc>
          <w:tcPr>
            <w:tcW w:type="dxa" w:w="3213"/>
          </w:tcPr>
          <w:p>
            <w:pPr>
              <w:spacing w:after="0" w:before="0"/>
            </w:pPr>
            <w:r/>
            <w:r>
              <w:rPr>
                <w:b w:val="0"/>
                <w:i w:val="0"/>
                <w:color w:val="1A1A1A"/>
                <w:sz w:val="18"/>
              </w:rPr>
              <w:t>eigenes System gegen eigene Anforderungen und Norm</w:t>
            </w:r>
          </w:p>
        </w:tc>
      </w:tr>
      <w:tr>
        <w:trPr>
          <w:cantSplit w:val="true"/>
        </w:trPr>
        <w:tc>
          <w:tcPr>
            <w:tcW w:type="dxa" w:w="3213"/>
            <w:shd w:val="clear" w:color="auto" w:fill="F3EFE6"/>
          </w:tcPr>
          <w:p>
            <w:pPr>
              <w:spacing w:after="0" w:before="0"/>
            </w:pPr>
            <w:r/>
            <w:r>
              <w:rPr>
                <w:b w:val="0"/>
                <w:i w:val="0"/>
                <w:color w:val="1A1A1A"/>
                <w:sz w:val="18"/>
              </w:rPr>
              <w:t>Zweite Partei</w:t>
            </w:r>
          </w:p>
        </w:tc>
        <w:tc>
          <w:tcPr>
            <w:tcW w:type="dxa" w:w="3213"/>
            <w:shd w:val="clear" w:color="auto" w:fill="F3EFE6"/>
          </w:tcPr>
          <w:p>
            <w:pPr>
              <w:spacing w:after="0" w:before="0"/>
            </w:pPr>
            <w:r/>
            <w:r>
              <w:rPr>
                <w:b w:val="0"/>
                <w:i w:val="0"/>
                <w:color w:val="1A1A1A"/>
                <w:sz w:val="18"/>
              </w:rPr>
              <w:t>ein Kunde, etwa der Verband, oder jemand in seinem Auftrag</w:t>
            </w:r>
          </w:p>
        </w:tc>
        <w:tc>
          <w:tcPr>
            <w:tcW w:type="dxa" w:w="3213"/>
            <w:shd w:val="clear" w:color="auto" w:fill="F3EFE6"/>
          </w:tcPr>
          <w:p>
            <w:pPr>
              <w:spacing w:after="0" w:before="0"/>
            </w:pPr>
            <w:r/>
            <w:r>
              <w:rPr>
                <w:b w:val="0"/>
                <w:i w:val="0"/>
                <w:color w:val="1A1A1A"/>
                <w:sz w:val="18"/>
              </w:rPr>
              <w:t>ob das Haus hält, was der Kunde braucht</w:t>
            </w:r>
          </w:p>
        </w:tc>
      </w:tr>
      <w:tr>
        <w:trPr>
          <w:cantSplit w:val="true"/>
        </w:trPr>
        <w:tc>
          <w:tcPr>
            <w:tcW w:type="dxa" w:w="3213"/>
          </w:tcPr>
          <w:p>
            <w:pPr>
              <w:spacing w:after="0" w:before="0"/>
            </w:pPr>
            <w:r/>
            <w:r>
              <w:rPr>
                <w:b w:val="0"/>
                <w:i w:val="0"/>
                <w:color w:val="1A1A1A"/>
                <w:sz w:val="18"/>
              </w:rPr>
              <w:t>Dritte Partei</w:t>
            </w:r>
          </w:p>
        </w:tc>
        <w:tc>
          <w:tcPr>
            <w:tcW w:type="dxa" w:w="3213"/>
          </w:tcPr>
          <w:p>
            <w:pPr>
              <w:spacing w:after="0" w:before="0"/>
            </w:pPr>
            <w:r/>
            <w:r>
              <w:rPr>
                <w:b w:val="0"/>
                <w:i w:val="0"/>
                <w:color w:val="1A1A1A"/>
                <w:sz w:val="18"/>
              </w:rPr>
              <w:t>eine Zertifizierungsstelle</w:t>
            </w:r>
          </w:p>
        </w:tc>
        <w:tc>
          <w:tcPr>
            <w:tcW w:type="dxa" w:w="3213"/>
          </w:tcPr>
          <w:p>
            <w:pPr>
              <w:spacing w:after="0" w:before="0"/>
            </w:pPr>
            <w:r/>
            <w:r>
              <w:rPr>
                <w:b w:val="0"/>
                <w:i w:val="0"/>
                <w:color w:val="1A1A1A"/>
                <w:sz w:val="18"/>
              </w:rPr>
              <w:t>System gegen Norm, im Anwendungsbereich des Hauses</w:t>
            </w:r>
          </w:p>
        </w:tc>
      </w:tr>
      <w:tr>
        <w:trPr>
          <w:cantSplit w:val="true"/>
        </w:trPr>
        <w:tc>
          <w:tcPr>
            <w:tcW w:type="dxa" w:w="3213"/>
            <w:shd w:val="clear" w:color="auto" w:fill="F3EFE6"/>
          </w:tcPr>
          <w:p>
            <w:pPr>
              <w:spacing w:after="0" w:before="0"/>
            </w:pPr>
            <w:r/>
            <w:r>
              <w:rPr>
                <w:b w:val="0"/>
                <w:i w:val="0"/>
                <w:color w:val="1A1A1A"/>
                <w:sz w:val="18"/>
              </w:rPr>
              <w:t>Prüfung der dritten Partei</w:t>
            </w:r>
          </w:p>
        </w:tc>
        <w:tc>
          <w:tcPr>
            <w:tcW w:type="dxa" w:w="3213"/>
            <w:shd w:val="clear" w:color="auto" w:fill="F3EFE6"/>
          </w:tcPr>
          <w:p>
            <w:pPr>
              <w:spacing w:after="0" w:before="0"/>
            </w:pPr>
            <w:r/>
            <w:r>
              <w:rPr>
                <w:b w:val="0"/>
                <w:i w:val="0"/>
                <w:color w:val="1A1A1A"/>
                <w:sz w:val="18"/>
              </w:rPr>
              <w:t>die Akkreditierungsstelle</w:t>
            </w:r>
          </w:p>
        </w:tc>
        <w:tc>
          <w:tcPr>
            <w:tcW w:type="dxa" w:w="3213"/>
            <w:shd w:val="clear" w:color="auto" w:fill="F3EFE6"/>
          </w:tcPr>
          <w:p>
            <w:pPr>
              <w:spacing w:after="0" w:before="0"/>
            </w:pPr>
            <w:r/>
            <w:r>
              <w:rPr>
                <w:b w:val="0"/>
                <w:i w:val="0"/>
                <w:color w:val="1A1A1A"/>
                <w:sz w:val="18"/>
              </w:rPr>
              <w:t>Kompetenz und Unparteilichkeit der Zertifizierungsstelle, je Geltungsbereich</w:t>
            </w:r>
          </w:p>
        </w:tc>
      </w:tr>
      <w:tr>
        <w:trPr>
          <w:cantSplit w:val="true"/>
        </w:trPr>
        <w:tc>
          <w:tcPr>
            <w:tcW w:type="dxa" w:w="3213"/>
          </w:tcPr>
          <w:p>
            <w:pPr>
              <w:spacing w:after="0" w:before="0"/>
            </w:pPr>
            <w:r/>
            <w:r>
              <w:rPr>
                <w:b w:val="0"/>
                <w:i w:val="0"/>
                <w:color w:val="1A1A1A"/>
                <w:sz w:val="18"/>
              </w:rPr>
              <w:t>Wo die vierte Ebene fehlt</w:t>
            </w:r>
          </w:p>
        </w:tc>
        <w:tc>
          <w:tcPr>
            <w:tcW w:type="dxa" w:w="3213"/>
          </w:tcPr>
          <w:p>
            <w:pPr>
              <w:spacing w:after="0" w:before="0"/>
            </w:pPr>
            <w:r/>
            <w:r>
              <w:rPr>
                <w:b w:val="0"/>
                <w:i w:val="0"/>
                <w:color w:val="1A1A1A"/>
                <w:sz w:val="18"/>
              </w:rPr>
              <w:t>das Haus selbst, mit Fragen an die Stelle</w:t>
            </w:r>
          </w:p>
        </w:tc>
        <w:tc>
          <w:tcPr>
            <w:tcW w:type="dxa" w:w="3213"/>
          </w:tcPr>
          <w:p>
            <w:pPr>
              <w:spacing w:after="0" w:before="0"/>
            </w:pPr>
            <w:r/>
            <w:r>
              <w:rPr>
                <w:b w:val="0"/>
                <w:i w:val="0"/>
                <w:color w:val="1A1A1A"/>
                <w:sz w:val="18"/>
              </w:rPr>
              <w:t>Unabhängigkeit, Auditor, Entscheidung, Beschwerden</w:t>
            </w:r>
          </w:p>
        </w:tc>
      </w:tr>
    </w:tbl>
    <w:p>
      <w:pPr>
        <w:spacing w:after="40"/>
      </w:pPr>
    </w:p>
    <w:p>
      <w:pPr>
        <w:pStyle w:val="Heading2"/>
      </w:pPr>
      <w:r>
        <w:t>Praktische Anwendung: eine Zertifizierungsstelle in sieben Schritten prüfen</w:t>
      </w:r>
    </w:p>
    <w:p>
      <w:pPr>
        <w:tabs>
          <w:tab w:pos="340" w:val="left"/>
        </w:tabs>
        <w:ind w:left="340" w:hanging="340"/>
      </w:pPr>
      <w:r>
        <w:rPr>
          <w:b/>
          <w:color w:val="8C5A2B"/>
        </w:rPr>
        <w:t>1.</w:t>
        <w:tab/>
      </w:r>
      <w:r>
        <w:rPr>
          <w:b/>
        </w:rPr>
        <w:t>Die Anlage anfordern, nicht den Briefkopf lesen.</w:t>
      </w:r>
      <w:r>
        <w:t xml:space="preserve"> Bitten Sie jede Stelle um die Akkreditierungsurkunde mit allen Anlagen. Steht ISO 20121 nicht darin, ist das Zertifikat nicht akkreditiert, gleich was auf dem Briefkopf steht.</w:t>
      </w:r>
    </w:p>
    <w:p>
      <w:pPr>
        <w:tabs>
          <w:tab w:pos="340" w:val="left"/>
        </w:tabs>
        <w:ind w:left="340" w:hanging="340"/>
      </w:pPr>
      <w:r>
        <w:rPr>
          <w:b/>
          <w:color w:val="8C5A2B"/>
        </w:rPr>
        <w:t>2.</w:t>
        <w:tab/>
      </w:r>
      <w:r>
        <w:rPr>
          <w:b/>
        </w:rPr>
        <w:t>Die Antwort schriftlich festhalten.</w:t>
      </w:r>
      <w:r>
        <w:t xml:space="preserve"> Fragen Sie jede Stelle ausdrücklich, ob sie für ISO 20121 akkreditiert ist, und bewahren Sie die Antwort auf. Eine offene Antwort ist ein gutes Zeichen, keine Schwäche des Angebots.</w:t>
      </w:r>
    </w:p>
    <w:p>
      <w:pPr>
        <w:tabs>
          <w:tab w:pos="340" w:val="left"/>
        </w:tabs>
        <w:ind w:left="340" w:hanging="340"/>
      </w:pPr>
      <w:r>
        <w:rPr>
          <w:b/>
          <w:color w:val="8C5A2B"/>
        </w:rPr>
        <w:t>3.</w:t>
        <w:tab/>
      </w:r>
      <w:r>
        <w:rPr>
          <w:b/>
        </w:rPr>
        <w:t>Beratung und Prüfung trennen.</w:t>
      </w:r>
      <w:r>
        <w:t xml:space="preserve"> Streichen Sie jedes Angebot, das Aufbau und Zertifikat aus einer Hand verbindet. Fragen Sie auch nach Partnerschaften zwischen der Stelle und Beratern.</w:t>
      </w:r>
    </w:p>
    <w:p>
      <w:pPr>
        <w:tabs>
          <w:tab w:pos="340" w:val="left"/>
        </w:tabs>
        <w:ind w:left="340" w:hanging="340"/>
      </w:pPr>
      <w:r>
        <w:rPr>
          <w:b/>
          <w:color w:val="8C5A2B"/>
        </w:rPr>
        <w:t>4.</w:t>
        <w:tab/>
      </w:r>
      <w:r>
        <w:rPr>
          <w:b/>
        </w:rPr>
        <w:t>Nach der Entscheidung fragen.</w:t>
      </w:r>
      <w:r>
        <w:t xml:space="preserve"> Lassen Sie sich beschreiben, wer über das Zertifikat entscheidet und auf welcher Grundlage. Eine Zusage des Ergebnisses vor dem Audit ist ein Grund, das Angebot zu verwerfen.</w:t>
      </w:r>
    </w:p>
    <w:p>
      <w:pPr>
        <w:tabs>
          <w:tab w:pos="340" w:val="left"/>
        </w:tabs>
        <w:ind w:left="340" w:hanging="340"/>
      </w:pPr>
      <w:r>
        <w:rPr>
          <w:b/>
          <w:color w:val="8C5A2B"/>
        </w:rPr>
        <w:t>5.</w:t>
        <w:tab/>
      </w:r>
      <w:r>
        <w:rPr>
          <w:b/>
        </w:rPr>
        <w:t>Den Plan über den Zyklus verlangen.</w:t>
      </w:r>
      <w:r>
        <w:t xml:space="preserve"> Das Angebot nennt die beiden Stufen des Erstaudits, die jährlichen Überwachungen und den Weg zur Erneuerung. Die Kosten werden über den ganzen Zyklus verglichen.</w:t>
      </w:r>
    </w:p>
    <w:p>
      <w:pPr>
        <w:tabs>
          <w:tab w:pos="340" w:val="left"/>
        </w:tabs>
        <w:ind w:left="340" w:hanging="340"/>
      </w:pPr>
      <w:r>
        <w:rPr>
          <w:b/>
          <w:color w:val="8C5A2B"/>
        </w:rPr>
        <w:t>6.</w:t>
        <w:tab/>
      </w:r>
      <w:r>
        <w:rPr>
          <w:b/>
        </w:rPr>
        <w:t>Mit dem Kunden sprechen, bevor Sie antworten.</w:t>
      </w:r>
      <w:r>
        <w:t xml:space="preserve"> Fragen Sie, was der Nachweis belegen soll. Sagen Sie offen, welche Art von Zertifikat es für ISO 20121 derzeit gibt und welche anderen Wege bestehen.</w:t>
      </w:r>
    </w:p>
    <w:p>
      <w:pPr>
        <w:tabs>
          <w:tab w:pos="340" w:val="left"/>
        </w:tabs>
        <w:ind w:left="340" w:hanging="340"/>
      </w:pPr>
      <w:r>
        <w:rPr>
          <w:b/>
          <w:color w:val="8C5A2B"/>
        </w:rPr>
        <w:t>7.</w:t>
        <w:tab/>
      </w:r>
      <w:r>
        <w:rPr>
          <w:b/>
        </w:rPr>
        <w:t>Die Fragen zur Akte nehmen.</w:t>
      </w:r>
      <w:r>
        <w:t xml:space="preserve"> Fragen und Antworten zu Unabhängigkeit, Kompetenz, Entscheidung und Beschwerden gehören zu den Unterlagen des Systems. Sie ersetzen bis auf Weiteres, was sonst die Akkreditierungsstelle geprüft hätte.</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Anlage anfordern, nicht den Briefkopf lesen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Antwort schriftlich festhalten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Beratung und Prüfung trennen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Nach der Entscheidung 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Plan über den Zyklus verlangen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Mit dem Kunden sprechen, bevor Sie antworten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Fragen zur Akte nehmen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von jeder Stelle die Anlage zur Akkreditierungsurkunde gesehen?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Wissen wir für jedes Angebot, ob das Zertifikat für ISO 20121 unter Akkreditierung ausgestellt würde?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ausgeschlossen, dass die Stelle oder ein Partner uns beim Aufbau beraten hat oder beraten soll?</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Sagt das Angebot, wer über das Zertifikat entscheidet?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Verspricht kein Angebot ein Ergebnis vor dem Audit?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Vergleichen wir die Kosten über den ganzen Zyklus?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mit dem Kunden geklärt, was der Nachweis belegen soll?</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Sagt unsere Antwort an den Kunden, welche Art von Zertifikat wir anstreben?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Den Briefkopf für die Akkreditierung halten.</w:t>
      </w:r>
      <w:r>
        <w:t xml:space="preserve"> Gültig ist der Geltungsbereich in der Anlage.</w:t>
      </w:r>
    </w:p>
    <w:p>
      <w:pPr>
        <w:tabs>
          <w:tab w:pos="340" w:val="left"/>
        </w:tabs>
        <w:ind w:left="340" w:hanging="340"/>
      </w:pPr>
      <w:r>
        <w:rPr>
          <w:color w:val="8C5A2B"/>
        </w:rPr>
        <w:t>–</w:t>
        <w:tab/>
      </w:r>
      <w:r>
        <w:rPr>
          <w:b/>
        </w:rPr>
        <w:t>Das offene Angebot aussortieren.</w:t>
      </w:r>
      <w:r>
        <w:t xml:space="preserve"> Wer seine Grenzen nennt, bietet oft dasselbe wie der, der schweigt.</w:t>
      </w:r>
    </w:p>
    <w:p>
      <w:pPr>
        <w:tabs>
          <w:tab w:pos="340" w:val="left"/>
        </w:tabs>
        <w:ind w:left="340" w:hanging="340"/>
      </w:pPr>
      <w:r>
        <w:rPr>
          <w:color w:val="8C5A2B"/>
        </w:rPr>
        <w:t>–</w:t>
        <w:tab/>
      </w:r>
      <w:r>
        <w:rPr>
          <w:b/>
        </w:rPr>
        <w:t>Beratung und Zertifikat aus einer Hand kaufen.</w:t>
      </w:r>
      <w:r>
        <w:t xml:space="preserve"> Das Urteil ist dann eines über die eigene Arbeit.</w:t>
      </w:r>
    </w:p>
    <w:p>
      <w:pPr>
        <w:tabs>
          <w:tab w:pos="340" w:val="left"/>
        </w:tabs>
        <w:ind w:left="340" w:hanging="340"/>
      </w:pPr>
      <w:r>
        <w:rPr>
          <w:color w:val="8C5A2B"/>
        </w:rPr>
        <w:t>–</w:t>
        <w:tab/>
      </w:r>
      <w:r>
        <w:rPr>
          <w:b/>
        </w:rPr>
        <w:t>Ein garantiertes Zertifikat annehmen.</w:t>
      </w:r>
      <w:r>
        <w:t xml:space="preserve"> Entscheiden dürfen nur Personen, die nicht auditiert haben, und erst nach dem Audit.</w:t>
      </w:r>
    </w:p>
    <w:p>
      <w:pPr>
        <w:tabs>
          <w:tab w:pos="340" w:val="left"/>
        </w:tabs>
        <w:ind w:left="340" w:hanging="340"/>
      </w:pPr>
      <w:r>
        <w:rPr>
          <w:color w:val="8C5A2B"/>
        </w:rPr>
        <w:t>–</w:t>
        <w:tab/>
      </w:r>
      <w:r>
        <w:rPr>
          <w:b/>
        </w:rPr>
        <w:t>Eine Bedingung des Kunden mit einem Anschein erfüllen.</w:t>
      </w:r>
      <w:r>
        <w:t xml:space="preserve"> Wer «akkreditiert» liefert, wo es nicht stimmt, verliert den Kunden spätestens beim zweiten Blick.</w:t>
      </w:r>
    </w:p>
    <w:p>
      <w:pPr>
        <w:tabs>
          <w:tab w:pos="340" w:val="left"/>
        </w:tabs>
        <w:ind w:left="340" w:hanging="340"/>
      </w:pPr>
      <w:r>
        <w:rPr>
          <w:color w:val="8C5A2B"/>
        </w:rPr>
        <w:t>–</w:t>
        <w:tab/>
      </w:r>
      <w:r>
        <w:rPr>
          <w:b/>
        </w:rPr>
        <w:t>Vom Zertifikat für den Kongress sprechen.</w:t>
      </w:r>
      <w:r>
        <w:t xml:space="preserve"> Zertifiziert wird das System, nicht die Veranstaltung.</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Angebot A, drei Jahre</w:t>
            </w:r>
          </w:p>
        </w:tc>
        <w:tc>
          <w:tcPr>
            <w:tcW w:type="dxa" w:w="1474"/>
          </w:tcPr>
          <w:p>
            <w:pPr>
              <w:spacing w:after="0" w:before="0"/>
            </w:pPr>
            <w:r/>
            <w:r>
              <w:rPr>
                <w:b w:val="0"/>
                <w:i w:val="0"/>
                <w:color w:val="1A1A1A"/>
                <w:sz w:val="18"/>
              </w:rPr>
              <w:t>€ 14.200</w:t>
            </w:r>
          </w:p>
        </w:tc>
        <w:tc>
          <w:tcPr>
            <w:tcW w:type="dxa" w:w="3175"/>
          </w:tcPr>
          <w:p>
            <w:pPr>
              <w:spacing w:after="0" w:before="0"/>
            </w:pPr>
            <w:r/>
            <w:r>
              <w:rPr>
                <w:b w:val="0"/>
                <w:i w:val="0"/>
                <w:color w:val="1A1A1A"/>
                <w:sz w:val="18"/>
              </w:rPr>
              <w:t>nicht akkreditiert für ISO 20121, ohne Hinweis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Angebot B, drei Jahre</w:t>
            </w:r>
          </w:p>
        </w:tc>
        <w:tc>
          <w:tcPr>
            <w:tcW w:type="dxa" w:w="1474"/>
            <w:shd w:val="clear" w:color="auto" w:fill="F3EFE6"/>
          </w:tcPr>
          <w:p>
            <w:pPr>
              <w:spacing w:after="0" w:before="0"/>
            </w:pPr>
            <w:r/>
            <w:r>
              <w:rPr>
                <w:b w:val="0"/>
                <w:i w:val="0"/>
                <w:color w:val="1A1A1A"/>
                <w:sz w:val="18"/>
              </w:rPr>
              <w:t>€ 12.900</w:t>
            </w:r>
          </w:p>
        </w:tc>
        <w:tc>
          <w:tcPr>
            <w:tcW w:type="dxa" w:w="3175"/>
            <w:shd w:val="clear" w:color="auto" w:fill="F3EFE6"/>
          </w:tcPr>
          <w:p>
            <w:pPr>
              <w:spacing w:after="0" w:before="0"/>
            </w:pPr>
            <w:r/>
            <w:r>
              <w:rPr>
                <w:b w:val="0"/>
                <w:i w:val="0"/>
                <w:color w:val="1A1A1A"/>
                <w:sz w:val="18"/>
              </w:rPr>
              <w:t>nicht akkreditiert, offen gesagt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Angebot C, Beratung und Zertifikat</w:t>
            </w:r>
          </w:p>
        </w:tc>
        <w:tc>
          <w:tcPr>
            <w:tcW w:type="dxa" w:w="1474"/>
          </w:tcPr>
          <w:p>
            <w:pPr>
              <w:spacing w:after="0" w:before="0"/>
            </w:pPr>
            <w:r/>
            <w:r>
              <w:rPr>
                <w:b w:val="0"/>
                <w:i w:val="0"/>
                <w:color w:val="1A1A1A"/>
                <w:sz w:val="18"/>
              </w:rPr>
              <w:t>€ 18.500</w:t>
            </w:r>
          </w:p>
        </w:tc>
        <w:tc>
          <w:tcPr>
            <w:tcW w:type="dxa" w:w="3175"/>
          </w:tcPr>
          <w:p>
            <w:pPr>
              <w:spacing w:after="0" w:before="0"/>
            </w:pPr>
            <w:r/>
            <w:r>
              <w:rPr>
                <w:b w:val="0"/>
                <w:i w:val="0"/>
                <w:color w:val="1A1A1A"/>
                <w:sz w:val="18"/>
              </w:rPr>
              <w:t>verworfen: Beratung und Prüfung verbunden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Prüfung der Angebote, Anlagen, Telefonate</w:t>
            </w:r>
          </w:p>
        </w:tc>
        <w:tc>
          <w:tcPr>
            <w:tcW w:type="dxa" w:w="1474"/>
            <w:shd w:val="clear" w:color="auto" w:fill="F3EFE6"/>
          </w:tcPr>
          <w:p>
            <w:pPr>
              <w:spacing w:after="0" w:before="0"/>
            </w:pPr>
            <w:r/>
            <w:r>
              <w:rPr>
                <w:b w:val="0"/>
                <w:i w:val="0"/>
                <w:color w:val="1A1A1A"/>
                <w:sz w:val="18"/>
              </w:rPr>
              <w:t>9 Stunden</w:t>
            </w:r>
          </w:p>
        </w:tc>
        <w:tc>
          <w:tcPr>
            <w:tcW w:type="dxa" w:w="3175"/>
            <w:shd w:val="clear" w:color="auto" w:fill="F3EFE6"/>
          </w:tcPr>
          <w:p>
            <w:pPr>
              <w:spacing w:after="0" w:before="0"/>
            </w:pPr>
            <w:r/>
            <w:r>
              <w:rPr>
                <w:b w:val="0"/>
                <w:i w:val="0"/>
                <w:color w:val="1A1A1A"/>
                <w:sz w:val="18"/>
              </w:rPr>
              <w:t>Nachhaltigkeitsmanagerin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Gespräch mit dem Einkauf des Verbands, Antwortschreiben</w:t>
            </w:r>
          </w:p>
        </w:tc>
        <w:tc>
          <w:tcPr>
            <w:tcW w:type="dxa" w:w="1474"/>
          </w:tcPr>
          <w:p>
            <w:pPr>
              <w:spacing w:after="0" w:before="0"/>
            </w:pPr>
            <w:r/>
            <w:r>
              <w:rPr>
                <w:b w:val="0"/>
                <w:i w:val="0"/>
                <w:color w:val="1A1A1A"/>
                <w:sz w:val="18"/>
              </w:rPr>
              <w:t>5 Stunden</w:t>
            </w:r>
          </w:p>
        </w:tc>
        <w:tc>
          <w:tcPr>
            <w:tcW w:type="dxa" w:w="3175"/>
          </w:tcPr>
          <w:p>
            <w:pPr>
              <w:spacing w:after="0" w:before="0"/>
            </w:pPr>
            <w:r/>
            <w:r>
              <w:rPr>
                <w:b w:val="0"/>
                <w:i w:val="0"/>
                <w:color w:val="1A1A1A"/>
                <w:sz w:val="18"/>
              </w:rPr>
              <w:t>Direktor und Nachhaltigkeitsmanagerin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Umsatz aus der Ausschreibung, je Jahr</w:t>
            </w:r>
          </w:p>
        </w:tc>
        <w:tc>
          <w:tcPr>
            <w:tcW w:type="dxa" w:w="1474"/>
            <w:shd w:val="clear" w:color="auto" w:fill="F3EFE6"/>
          </w:tcPr>
          <w:p>
            <w:pPr>
              <w:spacing w:after="0" w:before="0"/>
            </w:pPr>
            <w:r/>
            <w:r>
              <w:rPr>
                <w:b w:val="0"/>
                <w:i w:val="0"/>
                <w:color w:val="1A1A1A"/>
                <w:sz w:val="18"/>
              </w:rPr>
              <w:t>€ 410.000</w:t>
            </w:r>
          </w:p>
        </w:tc>
        <w:tc>
          <w:tcPr>
            <w:tcW w:type="dxa" w:w="3175"/>
            <w:shd w:val="clear" w:color="auto" w:fill="F3EFE6"/>
          </w:tcPr>
          <w:p>
            <w:pPr>
              <w:spacing w:after="0" w:before="0"/>
            </w:pPr>
            <w:r/>
            <w:r>
              <w:rPr>
                <w:b w:val="0"/>
                <w:i w:val="0"/>
                <w:color w:val="1A1A1A"/>
                <w:sz w:val="18"/>
              </w:rPr>
              <w:t>drei Jahre; nicht Gewinn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Vierzehn Stunden eigener Arbeit trennen ein Zertifikat, das als akkreditiert verkauft wird, von einem, das ist, was es ist. A und B unterscheiden sich um 1.300 Euro über drei Jahre bei gleicher Leistung. Der Umsatz zeigt, was auf dem Spiel steht, wenn der Verband die Antwort für irreführend hält. Er ist nicht Gewinn, und er ist mit keinem der drei Angebote gewonnen.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Stelle: keine Managementsystem-Beratung (ISO/IEC 17021-1)</w:t>
            </w:r>
          </w:p>
        </w:tc>
        <w:tc>
          <w:tcPr>
            <w:tcW w:type="dxa" w:w="3175"/>
          </w:tcPr>
          <w:p>
            <w:pPr>
              <w:spacing w:after="0" w:before="0"/>
            </w:pPr>
            <w:r/>
            <w:r>
              <w:rPr>
                <w:b w:val="0"/>
                <w:i w:val="0"/>
                <w:color w:val="1A1A1A"/>
                <w:sz w:val="18"/>
              </w:rPr>
              <w:t>Angebot ohne Beratungsteil; Erklärung zu Verbindungen mit Beratern</w:t>
            </w:r>
          </w:p>
        </w:tc>
        <w:tc>
          <w:tcPr>
            <w:tcW w:type="dxa" w:w="3175"/>
          </w:tcPr>
          <w:p>
            <w:pPr>
              <w:spacing w:after="0" w:before="0"/>
            </w:pPr>
            <w:r/>
            <w:r>
              <w:rPr>
                <w:b w:val="0"/>
                <w:i w:val="0"/>
                <w:color w:val="1A1A1A"/>
                <w:sz w:val="18"/>
              </w:rPr>
              <w:t>Methode: nach Partnerschaften fragen</w:t>
            </w:r>
          </w:p>
        </w:tc>
      </w:tr>
      <w:tr>
        <w:trPr>
          <w:cantSplit w:val="true"/>
        </w:trPr>
        <w:tc>
          <w:tcPr>
            <w:tcW w:type="dxa" w:w="3288"/>
            <w:shd w:val="clear" w:color="auto" w:fill="F3EFE6"/>
          </w:tcPr>
          <w:p>
            <w:pPr>
              <w:spacing w:after="0" w:before="0"/>
            </w:pPr>
            <w:r/>
            <w:r>
              <w:rPr>
                <w:b w:val="0"/>
                <w:i w:val="0"/>
                <w:color w:val="1A1A1A"/>
                <w:sz w:val="18"/>
              </w:rPr>
              <w:t>Stelle: Entscheidung durch Personen, die nicht auditiert haben (ISO/IEC 17021-1)</w:t>
            </w:r>
          </w:p>
        </w:tc>
        <w:tc>
          <w:tcPr>
            <w:tcW w:type="dxa" w:w="3175"/>
            <w:shd w:val="clear" w:color="auto" w:fill="F3EFE6"/>
          </w:tcPr>
          <w:p>
            <w:pPr>
              <w:spacing w:after="0" w:before="0"/>
            </w:pPr>
            <w:r/>
            <w:r>
              <w:rPr>
                <w:b w:val="0"/>
                <w:i w:val="0"/>
                <w:color w:val="1A1A1A"/>
                <w:sz w:val="18"/>
              </w:rPr>
              <w:t>Angebot beschreibt den Weg der Entscheidung; keine Zusage des Ergebnisses</w:t>
            </w:r>
          </w:p>
        </w:tc>
        <w:tc>
          <w:tcPr>
            <w:tcW w:type="dxa" w:w="3175"/>
            <w:shd w:val="clear" w:color="auto" w:fill="F3EFE6"/>
          </w:tcPr>
          <w:p>
            <w:pPr>
              <w:spacing w:after="0" w:before="0"/>
            </w:pPr>
            <w:r/>
            <w:r>
              <w:rPr>
                <w:b w:val="0"/>
                <w:i w:val="0"/>
                <w:color w:val="1A1A1A"/>
                <w:sz w:val="18"/>
              </w:rPr>
              <w:t>Methode: die Frage im Vorgespräch stellen</w:t>
            </w:r>
          </w:p>
        </w:tc>
      </w:tr>
      <w:tr>
        <w:trPr>
          <w:cantSplit w:val="true"/>
        </w:trPr>
        <w:tc>
          <w:tcPr>
            <w:tcW w:type="dxa" w:w="3288"/>
          </w:tcPr>
          <w:p>
            <w:pPr>
              <w:spacing w:after="0" w:before="0"/>
            </w:pPr>
            <w:r/>
            <w:r>
              <w:rPr>
                <w:b w:val="0"/>
                <w:i w:val="0"/>
                <w:color w:val="1A1A1A"/>
                <w:sz w:val="18"/>
              </w:rPr>
              <w:t>Stelle: Überwachung mindestens einmal je Kalenderjahr, die erste binnen zwölf Monaten (ISO/IEC 17021-1)</w:t>
            </w:r>
          </w:p>
        </w:tc>
        <w:tc>
          <w:tcPr>
            <w:tcW w:type="dxa" w:w="3175"/>
          </w:tcPr>
          <w:p>
            <w:pPr>
              <w:spacing w:after="0" w:before="0"/>
            </w:pPr>
            <w:r/>
            <w:r>
              <w:rPr>
                <w:b w:val="0"/>
                <w:i w:val="0"/>
                <w:color w:val="1A1A1A"/>
                <w:sz w:val="18"/>
              </w:rPr>
              <w:t>Plan über den Zyklus im Angebot</w:t>
            </w:r>
          </w:p>
        </w:tc>
        <w:tc>
          <w:tcPr>
            <w:tcW w:type="dxa" w:w="3175"/>
          </w:tcPr>
          <w:p>
            <w:pPr>
              <w:spacing w:after="0" w:before="0"/>
            </w:pPr>
            <w:r/>
            <w:r>
              <w:rPr>
                <w:b w:val="0"/>
                <w:i w:val="0"/>
                <w:color w:val="1A1A1A"/>
                <w:sz w:val="18"/>
              </w:rPr>
              <w:t>Laufzeit nach den Regeln der Stelle</w:t>
            </w:r>
          </w:p>
        </w:tc>
      </w:tr>
      <w:tr>
        <w:trPr>
          <w:cantSplit w:val="true"/>
        </w:trPr>
        <w:tc>
          <w:tcPr>
            <w:tcW w:type="dxa" w:w="3288"/>
            <w:shd w:val="clear" w:color="auto" w:fill="F3EFE6"/>
          </w:tcPr>
          <w:p>
            <w:pPr>
              <w:spacing w:after="0" w:before="0"/>
            </w:pPr>
            <w:r/>
            <w:r>
              <w:rPr>
                <w:b w:val="0"/>
                <w:i w:val="0"/>
                <w:color w:val="1A1A1A"/>
                <w:sz w:val="18"/>
              </w:rPr>
              <w:t>Stelle: kompetentes Personal für Veranstaltungssysteme (ISO/IEC TS 17021-4)</w:t>
            </w:r>
          </w:p>
        </w:tc>
        <w:tc>
          <w:tcPr>
            <w:tcW w:type="dxa" w:w="3175"/>
            <w:shd w:val="clear" w:color="auto" w:fill="F3EFE6"/>
          </w:tcPr>
          <w:p>
            <w:pPr>
              <w:spacing w:after="0" w:before="0"/>
            </w:pPr>
            <w:r/>
            <w:r>
              <w:rPr>
                <w:b w:val="0"/>
                <w:i w:val="0"/>
                <w:color w:val="1A1A1A"/>
                <w:sz w:val="18"/>
              </w:rPr>
              <w:t>Lebenslauf des vorgesehenen Auditors (4.2)</w:t>
            </w:r>
          </w:p>
        </w:tc>
        <w:tc>
          <w:tcPr>
            <w:tcW w:type="dxa" w:w="3175"/>
            <w:shd w:val="clear" w:color="auto" w:fill="F3EFE6"/>
          </w:tcPr>
          <w:p>
            <w:pPr>
              <w:spacing w:after="0" w:before="0"/>
            </w:pPr>
            <w:r/>
            <w:r>
              <w:rPr>
                <w:b w:val="0"/>
                <w:i w:val="0"/>
                <w:color w:val="1A1A1A"/>
                <w:sz w:val="18"/>
              </w:rPr>
              <w:t>Methode: Erfahrung mit Veranstaltungen erfragen</w:t>
            </w:r>
          </w:p>
        </w:tc>
      </w:tr>
      <w:tr>
        <w:trPr>
          <w:cantSplit w:val="true"/>
        </w:trPr>
        <w:tc>
          <w:tcPr>
            <w:tcW w:type="dxa" w:w="3288"/>
          </w:tcPr>
          <w:p>
            <w:pPr>
              <w:spacing w:after="0" w:before="0"/>
            </w:pPr>
            <w:r/>
            <w:r>
              <w:rPr>
                <w:b w:val="0"/>
                <w:i w:val="0"/>
                <w:color w:val="1A1A1A"/>
                <w:sz w:val="18"/>
              </w:rPr>
              <w:t>Haus: Anwendungsbereich dokumentiert (ISO 20121, 4.3); keine irreführende Kommunikation (7.4)</w:t>
            </w:r>
          </w:p>
        </w:tc>
        <w:tc>
          <w:tcPr>
            <w:tcW w:type="dxa" w:w="3175"/>
          </w:tcPr>
          <w:p>
            <w:pPr>
              <w:spacing w:after="0" w:before="0"/>
            </w:pPr>
            <w:r/>
            <w:r>
              <w:rPr>
                <w:b w:val="0"/>
                <w:i w:val="0"/>
                <w:color w:val="1A1A1A"/>
                <w:sz w:val="18"/>
              </w:rPr>
              <w:t>datierte Seite; Antwort an den Verband nennt die Art des Zertifikats</w:t>
            </w:r>
          </w:p>
        </w:tc>
        <w:tc>
          <w:tcPr>
            <w:tcW w:type="dxa" w:w="3175"/>
          </w:tcPr>
          <w:p>
            <w:pPr>
              <w:spacing w:after="0" w:before="0"/>
            </w:pPr>
            <w:r/>
            <w:r>
              <w:rPr>
                <w:b w:val="0"/>
                <w:i w:val="0"/>
                <w:color w:val="1A1A1A"/>
                <w:sz w:val="18"/>
              </w:rPr>
              <w:t>A.2 und A.24: nur das System; drei Wege</w:t>
            </w:r>
          </w:p>
        </w:tc>
      </w:tr>
    </w:tbl>
    <w:p>
      <w:pPr>
        <w:spacing w:after="40"/>
      </w:pPr>
    </w:p>
    <w:p>
      <w:pPr>
        <w:pStyle w:val="Heading2"/>
      </w:pPr>
      <w:r>
        <w:t>DACH-Anker: Akkreditierung und Werbung mit Zertifikaten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Nationale Akkreditierungsstelle</w:t>
            </w:r>
          </w:p>
        </w:tc>
        <w:tc>
          <w:tcPr>
            <w:tcW w:type="dxa" w:w="2721"/>
          </w:tcPr>
          <w:p>
            <w:pPr>
              <w:spacing w:after="0" w:before="0"/>
            </w:pPr>
            <w:r/>
            <w:r>
              <w:rPr>
                <w:b w:val="0"/>
                <w:i w:val="0"/>
                <w:color w:val="1A1A1A"/>
                <w:sz w:val="17"/>
              </w:rPr>
              <w:t>DAkkS</w:t>
            </w:r>
          </w:p>
        </w:tc>
        <w:tc>
          <w:tcPr>
            <w:tcW w:type="dxa" w:w="2721"/>
          </w:tcPr>
          <w:p>
            <w:pPr>
              <w:spacing w:after="0" w:before="0"/>
            </w:pPr>
            <w:r/>
            <w:r>
              <w:rPr>
                <w:b w:val="0"/>
                <w:i w:val="0"/>
                <w:color w:val="1A1A1A"/>
                <w:sz w:val="17"/>
              </w:rPr>
              <w:t>Akkreditierung Austria, im Bundesministerium für Wirtschaft, Energie und Tourismus</w:t>
            </w:r>
          </w:p>
        </w:tc>
        <w:tc>
          <w:tcPr>
            <w:tcW w:type="dxa" w:w="2721"/>
          </w:tcPr>
          <w:p>
            <w:pPr>
              <w:spacing w:after="0" w:before="0"/>
            </w:pPr>
            <w:r/>
            <w:r>
              <w:rPr>
                <w:b w:val="0"/>
                <w:i w:val="0"/>
                <w:color w:val="1A1A1A"/>
                <w:sz w:val="17"/>
              </w:rPr>
              <w:t>Schweizerische Akkreditierungsstelle SAS, beim SECO in Bern</w:t>
            </w:r>
          </w:p>
        </w:tc>
      </w:tr>
      <w:tr>
        <w:trPr>
          <w:cantSplit w:val="true"/>
        </w:trPr>
        <w:tc>
          <w:tcPr>
            <w:tcW w:type="dxa" w:w="1474"/>
            <w:shd w:val="clear" w:color="auto" w:fill="F3EFE6"/>
          </w:tcPr>
          <w:p>
            <w:pPr>
              <w:spacing w:after="0" w:before="0"/>
            </w:pPr>
            <w:r/>
            <w:r>
              <w:rPr>
                <w:b w:val="0"/>
                <w:i w:val="0"/>
                <w:color w:val="1A1A1A"/>
                <w:sz w:val="17"/>
              </w:rPr>
              <w:t>Rechtsgrundlage</w:t>
            </w:r>
          </w:p>
        </w:tc>
        <w:tc>
          <w:tcPr>
            <w:tcW w:type="dxa" w:w="2721"/>
            <w:shd w:val="clear" w:color="auto" w:fill="F3EFE6"/>
          </w:tcPr>
          <w:p>
            <w:pPr>
              <w:spacing w:after="0" w:before="0"/>
            </w:pPr>
            <w:r/>
            <w:r>
              <w:rPr>
                <w:b w:val="0"/>
                <w:i w:val="0"/>
                <w:color w:val="1A1A1A"/>
                <w:sz w:val="17"/>
              </w:rPr>
              <w:t>Verordnung (EG) Nr. 765/2008</w:t>
            </w:r>
          </w:p>
        </w:tc>
        <w:tc>
          <w:tcPr>
            <w:tcW w:type="dxa" w:w="2721"/>
            <w:shd w:val="clear" w:color="auto" w:fill="F3EFE6"/>
          </w:tcPr>
          <w:p>
            <w:pPr>
              <w:spacing w:after="0" w:before="0"/>
            </w:pPr>
            <w:r/>
            <w:r>
              <w:rPr>
                <w:b w:val="0"/>
                <w:i w:val="0"/>
                <w:color w:val="1A1A1A"/>
                <w:sz w:val="17"/>
              </w:rPr>
              <w:t>Verordnung (EG) Nr. 765/2008; nationales Akkreditierungsrecht</w:t>
            </w:r>
          </w:p>
        </w:tc>
        <w:tc>
          <w:tcPr>
            <w:tcW w:type="dxa" w:w="2721"/>
            <w:shd w:val="clear" w:color="auto" w:fill="F3EFE6"/>
          </w:tcPr>
          <w:p>
            <w:pPr>
              <w:spacing w:after="0" w:before="0"/>
            </w:pPr>
            <w:r/>
            <w:r>
              <w:rPr>
                <w:b w:val="0"/>
                <w:i w:val="0"/>
                <w:color w:val="1A1A1A"/>
                <w:sz w:val="17"/>
              </w:rPr>
              <w:t>nationales Akkreditierungsrecht des Bundes</w:t>
            </w:r>
          </w:p>
        </w:tc>
      </w:tr>
      <w:tr>
        <w:trPr>
          <w:cantSplit w:val="true"/>
        </w:trPr>
        <w:tc>
          <w:tcPr>
            <w:tcW w:type="dxa" w:w="1474"/>
          </w:tcPr>
          <w:p>
            <w:pPr>
              <w:spacing w:after="0" w:before="0"/>
            </w:pPr>
            <w:r/>
            <w:r>
              <w:rPr>
                <w:b w:val="0"/>
                <w:i w:val="0"/>
                <w:color w:val="1A1A1A"/>
                <w:sz w:val="17"/>
              </w:rPr>
              <w:t>ISO 20121</w:t>
            </w:r>
          </w:p>
        </w:tc>
        <w:tc>
          <w:tcPr>
            <w:tcW w:type="dxa" w:w="2721"/>
          </w:tcPr>
          <w:p>
            <w:pPr>
              <w:spacing w:after="0" w:before="0"/>
            </w:pPr>
            <w:r/>
            <w:r>
              <w:rPr>
                <w:b w:val="0"/>
                <w:i w:val="0"/>
                <w:color w:val="1A1A1A"/>
                <w:sz w:val="17"/>
              </w:rPr>
              <w:t>Programm laut Branchenmeldung vom Juli 2026 eingereicht; im September 2026 stand die Entscheidung der DAkkS aus</w:t>
            </w:r>
          </w:p>
        </w:tc>
        <w:tc>
          <w:tcPr>
            <w:tcW w:type="dxa" w:w="2721"/>
          </w:tcPr>
          <w:p>
            <w:pPr>
              <w:spacing w:after="0" w:before="0"/>
            </w:pPr>
            <w:r/>
            <w:r>
              <w:rPr>
                <w:b w:val="0"/>
                <w:i w:val="0"/>
                <w:color w:val="1A1A1A"/>
                <w:sz w:val="17"/>
              </w:rPr>
              <w:t>keine akkreditierte Zertifizierung belegt; Geltungsbereiche online abfragbar</w:t>
            </w:r>
          </w:p>
        </w:tc>
        <w:tc>
          <w:tcPr>
            <w:tcW w:type="dxa" w:w="2721"/>
          </w:tcPr>
          <w:p>
            <w:pPr>
              <w:spacing w:after="0" w:before="0"/>
            </w:pPr>
            <w:r/>
            <w:r>
              <w:rPr>
                <w:b w:val="0"/>
                <w:i w:val="0"/>
                <w:color w:val="1A1A1A"/>
                <w:sz w:val="17"/>
              </w:rPr>
              <w:t>keine akkreditierte Zertifizierung belegt</w:t>
            </w:r>
          </w:p>
        </w:tc>
      </w:tr>
      <w:tr>
        <w:trPr>
          <w:cantSplit w:val="true"/>
        </w:trPr>
        <w:tc>
          <w:tcPr>
            <w:tcW w:type="dxa" w:w="1474"/>
            <w:shd w:val="clear" w:color="auto" w:fill="F3EFE6"/>
          </w:tcPr>
          <w:p>
            <w:pPr>
              <w:spacing w:after="0" w:before="0"/>
            </w:pPr>
            <w:r/>
            <w:r>
              <w:rPr>
                <w:b w:val="0"/>
                <w:i w:val="0"/>
                <w:color w:val="1A1A1A"/>
                <w:sz w:val="17"/>
              </w:rPr>
              <w:t>Internationale Ebene</w:t>
            </w:r>
          </w:p>
        </w:tc>
        <w:tc>
          <w:tcPr>
            <w:tcW w:type="dxa" w:w="2721"/>
            <w:shd w:val="clear" w:color="auto" w:fill="F3EFE6"/>
          </w:tcPr>
          <w:p>
            <w:pPr>
              <w:spacing w:after="0" w:before="0"/>
            </w:pPr>
            <w:r/>
            <w:r>
              <w:rPr>
                <w:b w:val="0"/>
                <w:i w:val="0"/>
                <w:color w:val="1A1A1A"/>
                <w:sz w:val="17"/>
              </w:rPr>
              <w:t>IAF-Dokumente gelten bis zum Ersatz durch Global ACI weiter</w:t>
            </w:r>
          </w:p>
        </w:tc>
        <w:tc>
          <w:tcPr>
            <w:tcW w:type="dxa" w:w="2721"/>
            <w:shd w:val="clear" w:color="auto" w:fill="F3EFE6"/>
          </w:tcPr>
          <w:p>
            <w:pPr>
              <w:spacing w:after="0" w:before="0"/>
            </w:pPr>
            <w:r/>
            <w:r>
              <w:rPr>
                <w:b w:val="0"/>
                <w:i w:val="0"/>
                <w:color w:val="1A1A1A"/>
                <w:sz w:val="17"/>
              </w:rPr>
              <w:t>Akkreditierung Austria seit Oktober 2025 Mitglied der Global ACI</w:t>
            </w:r>
          </w:p>
        </w:tc>
        <w:tc>
          <w:tcPr>
            <w:tcW w:type="dxa" w:w="2721"/>
            <w:shd w:val="clear" w:color="auto" w:fill="F3EFE6"/>
          </w:tcPr>
          <w:p>
            <w:pPr>
              <w:spacing w:after="0" w:before="0"/>
            </w:pPr>
            <w:r/>
            <w:r>
              <w:rPr>
                <w:b w:val="0"/>
                <w:i w:val="0"/>
                <w:color w:val="1A1A1A"/>
                <w:sz w:val="17"/>
              </w:rPr>
              <w:t>IAF-Dokumente gelten bis zum Ersatz weiter</w:t>
            </w:r>
          </w:p>
        </w:tc>
      </w:tr>
      <w:tr>
        <w:trPr>
          <w:cantSplit w:val="true"/>
        </w:trPr>
        <w:tc>
          <w:tcPr>
            <w:tcW w:type="dxa" w:w="1474"/>
          </w:tcPr>
          <w:p>
            <w:pPr>
              <w:spacing w:after="0" w:before="0"/>
            </w:pPr>
            <w:r/>
            <w:r>
              <w:rPr>
                <w:b w:val="0"/>
                <w:i w:val="0"/>
                <w:color w:val="1A1A1A"/>
                <w:sz w:val="17"/>
              </w:rPr>
              <w:t>Werbung mit Zeichen gegenüber Verbrauchern</w:t>
            </w:r>
          </w:p>
        </w:tc>
        <w:tc>
          <w:tcPr>
            <w:tcW w:type="dxa" w:w="2721"/>
          </w:tcPr>
          <w:p>
            <w:pPr>
              <w:spacing w:after="0" w:before="0"/>
            </w:pPr>
            <w:r/>
            <w:r>
              <w:rPr>
                <w:b w:val="0"/>
                <w:i w:val="0"/>
                <w:color w:val="1A1A1A"/>
                <w:sz w:val="17"/>
              </w:rPr>
              <w:t>Nachhaltigkeitssiegel nur mit Zertifizierungssystem oder staatlich festgesetzt (UWG, Anhang Nr. 2a), seit 27. September 2026</w:t>
            </w:r>
          </w:p>
        </w:tc>
        <w:tc>
          <w:tcPr>
            <w:tcW w:type="dxa" w:w="2721"/>
          </w:tcPr>
          <w:p>
            <w:pPr>
              <w:spacing w:after="0" w:before="0"/>
            </w:pPr>
            <w:r/>
            <w:r>
              <w:rPr>
                <w:b w:val="0"/>
                <w:i w:val="0"/>
                <w:color w:val="1A1A1A"/>
                <w:sz w:val="17"/>
              </w:rPr>
              <w:t>gleiche Regel (UWG, Anhang Z 2a), seit 27. September 2026</w:t>
            </w:r>
          </w:p>
        </w:tc>
        <w:tc>
          <w:tcPr>
            <w:tcW w:type="dxa" w:w="2721"/>
          </w:tcPr>
          <w:p>
            <w:pPr>
              <w:spacing w:after="0" w:before="0"/>
            </w:pPr>
            <w:r/>
            <w:r>
              <w:rPr>
                <w:b w:val="0"/>
                <w:i w:val="0"/>
                <w:color w:val="1A1A1A"/>
                <w:sz w:val="17"/>
              </w:rPr>
              <w:t>Klimaaussagen nur mit objektiven, überprüfbaren Grundlagen (Art. 3 Abs. 1 lit. x UWG), seit 1. Januar 2025</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 — Eine Zertifizierungsstelle prüfen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