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4.10</w:t>
      </w:r>
    </w:p>
    <w:p>
      <w:pPr>
        <w:pStyle w:val="Heading1"/>
      </w:pPr>
      <w:r>
        <w:t>Das erste Überwachungsaudit vorbereiten</w:t>
      </w:r>
    </w:p>
    <w:p>
      <w:pPr>
        <w:spacing w:after="0"/>
      </w:pPr>
      <w:r>
        <w:rPr>
          <w:b w:val="0"/>
          <w:i/>
          <w:color w:val="5A5A5A"/>
        </w:rPr>
        <w:t>Abschnitt 4.10 · Überwachungsaudits</w:t>
      </w:r>
    </w:p>
    <w:p>
      <w:pPr>
        <w:spacing w:after="160"/>
      </w:pPr>
      <w:r>
        <w:rPr>
          <w:b w:val="0"/>
          <w:i w:val="0"/>
          <w:color w:val="5A5A5A"/>
          <w:sz w:val="18"/>
        </w:rPr>
        <w:t>Modellfall im Buch: Schladming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Was hat Ihr System seit dem Tag aufgeschrieben, an dem das Zertifikat kam, und wer hätte es vermisst, wenn es aufgehört hätte? Und an welchem Tag des Jahres müsste ein Auditor Ihr Haus sehen, damit er sieht, was es im Ernstfall ist?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Ein Zertifizierungszyklus in Schladming, nach der Saison geplant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Audit</w:t>
            </w:r>
          </w:p>
        </w:tc>
        <w:tc>
          <w:tcPr>
            <w:tcW w:type="dxa" w:w="3213"/>
            <w:shd w:val="clear" w:color="auto" w:fill="8C5A2B"/>
          </w:tcPr>
          <w:p>
            <w:pPr>
              <w:spacing w:after="0" w:before="0"/>
            </w:pPr>
            <w:r/>
            <w:r>
              <w:rPr>
                <w:b/>
                <w:i w:val="0"/>
                <w:color w:val="FFFFFF"/>
                <w:sz w:val="18"/>
              </w:rPr>
              <w:t>Termin und Veranstaltung</w:t>
            </w:r>
          </w:p>
        </w:tc>
        <w:tc>
          <w:tcPr>
            <w:tcW w:type="dxa" w:w="3213"/>
            <w:shd w:val="clear" w:color="auto" w:fill="8C5A2B"/>
          </w:tcPr>
          <w:p>
            <w:pPr>
              <w:spacing w:after="0" w:before="0"/>
            </w:pPr>
            <w:r/>
            <w:r>
              <w:rPr>
                <w:b/>
                <w:i w:val="0"/>
                <w:color w:val="FFFFFF"/>
                <w:sz w:val="18"/>
              </w:rPr>
              <w:t>Was es sehen soll</w:t>
            </w:r>
          </w:p>
        </w:tc>
      </w:tr>
      <w:tr>
        <w:trPr>
          <w:cantSplit w:val="true"/>
        </w:trPr>
        <w:tc>
          <w:tcPr>
            <w:tcW w:type="dxa" w:w="3213"/>
          </w:tcPr>
          <w:p>
            <w:pPr>
              <w:spacing w:after="0" w:before="0"/>
            </w:pPr>
            <w:r/>
            <w:r>
              <w:rPr>
                <w:b w:val="0"/>
                <w:i w:val="0"/>
                <w:color w:val="1A1A1A"/>
                <w:sz w:val="18"/>
              </w:rPr>
              <w:t>Stufe 2</w:t>
            </w:r>
          </w:p>
        </w:tc>
        <w:tc>
          <w:tcPr>
            <w:tcW w:type="dxa" w:w="3213"/>
          </w:tcPr>
          <w:p>
            <w:pPr>
              <w:spacing w:after="0" w:before="0"/>
            </w:pPr>
            <w:r/>
            <w:r>
              <w:rPr>
                <w:b w:val="0"/>
                <w:i w:val="0"/>
                <w:color w:val="1A1A1A"/>
                <w:sz w:val="18"/>
              </w:rPr>
              <w:t>Februar, Firmentagung mit 80 Teilnehmern</w:t>
            </w:r>
          </w:p>
        </w:tc>
        <w:tc>
          <w:tcPr>
            <w:tcW w:type="dxa" w:w="3213"/>
          </w:tcPr>
          <w:p>
            <w:pPr>
              <w:spacing w:after="0" w:before="0"/>
            </w:pPr>
            <w:r/>
            <w:r>
              <w:rPr>
                <w:b w:val="0"/>
                <w:i w:val="0"/>
                <w:color w:val="1A1A1A"/>
                <w:sz w:val="18"/>
              </w:rPr>
              <w:t>Ablauf einer Tagung vom Angebot bis zur Nachbesprechung</w:t>
            </w:r>
          </w:p>
        </w:tc>
      </w:tr>
      <w:tr>
        <w:trPr>
          <w:cantSplit w:val="true"/>
        </w:trPr>
        <w:tc>
          <w:tcPr>
            <w:tcW w:type="dxa" w:w="3213"/>
            <w:shd w:val="clear" w:color="auto" w:fill="F3EFE6"/>
          </w:tcPr>
          <w:p>
            <w:pPr>
              <w:spacing w:after="0" w:before="0"/>
            </w:pPr>
            <w:r/>
            <w:r>
              <w:rPr>
                <w:b w:val="0"/>
                <w:i w:val="0"/>
                <w:color w:val="1A1A1A"/>
                <w:sz w:val="18"/>
              </w:rPr>
              <w:t>Erste Überwachung</w:t>
            </w:r>
          </w:p>
        </w:tc>
        <w:tc>
          <w:tcPr>
            <w:tcW w:type="dxa" w:w="3213"/>
            <w:shd w:val="clear" w:color="auto" w:fill="F3EFE6"/>
          </w:tcPr>
          <w:p>
            <w:pPr>
              <w:spacing w:after="0" w:before="0"/>
            </w:pPr>
            <w:r/>
            <w:r>
              <w:rPr>
                <w:b w:val="0"/>
                <w:i w:val="0"/>
                <w:color w:val="1A1A1A"/>
                <w:sz w:val="18"/>
              </w:rPr>
              <w:t>Jänner, Renntag: Empfang mit 220 Gästen, Terrassenbar</w:t>
            </w:r>
          </w:p>
        </w:tc>
        <w:tc>
          <w:tcPr>
            <w:tcW w:type="dxa" w:w="3213"/>
            <w:shd w:val="clear" w:color="auto" w:fill="F3EFE6"/>
          </w:tcPr>
          <w:p>
            <w:pPr>
              <w:spacing w:after="0" w:before="0"/>
            </w:pPr>
            <w:r/>
            <w:r>
              <w:rPr>
                <w:b w:val="0"/>
                <w:i w:val="0"/>
                <w:color w:val="1A1A1A"/>
                <w:sz w:val="18"/>
              </w:rPr>
              <w:t>das Haus unter Last; Lehren aus dem Vorjahr; Saisonkräfte</w:t>
            </w:r>
          </w:p>
        </w:tc>
      </w:tr>
      <w:tr>
        <w:trPr>
          <w:cantSplit w:val="true"/>
        </w:trPr>
        <w:tc>
          <w:tcPr>
            <w:tcW w:type="dxa" w:w="3213"/>
          </w:tcPr>
          <w:p>
            <w:pPr>
              <w:spacing w:after="0" w:before="0"/>
            </w:pPr>
            <w:r/>
            <w:r>
              <w:rPr>
                <w:b w:val="0"/>
                <w:i w:val="0"/>
                <w:color w:val="1A1A1A"/>
                <w:sz w:val="18"/>
              </w:rPr>
              <w:t>Zweite Überwachung</w:t>
            </w:r>
          </w:p>
        </w:tc>
        <w:tc>
          <w:tcPr>
            <w:tcW w:type="dxa" w:w="3213"/>
          </w:tcPr>
          <w:p>
            <w:pPr>
              <w:spacing w:after="0" w:before="0"/>
            </w:pPr>
            <w:r/>
            <w:r>
              <w:rPr>
                <w:b w:val="0"/>
                <w:i w:val="0"/>
                <w:color w:val="1A1A1A"/>
                <w:sz w:val="18"/>
              </w:rPr>
              <w:t>Sommer, Firmenfest im Freien</w:t>
            </w:r>
          </w:p>
        </w:tc>
        <w:tc>
          <w:tcPr>
            <w:tcW w:type="dxa" w:w="3213"/>
          </w:tcPr>
          <w:p>
            <w:pPr>
              <w:spacing w:after="0" w:before="0"/>
            </w:pPr>
            <w:r/>
            <w:r>
              <w:rPr>
                <w:b w:val="0"/>
                <w:i w:val="0"/>
                <w:color w:val="1A1A1A"/>
                <w:sz w:val="18"/>
              </w:rPr>
              <w:t>Außenveranstaltung, Lieferanten, Abbau im Freien</w:t>
            </w:r>
          </w:p>
        </w:tc>
      </w:tr>
      <w:tr>
        <w:trPr>
          <w:cantSplit w:val="true"/>
        </w:trPr>
        <w:tc>
          <w:tcPr>
            <w:tcW w:type="dxa" w:w="3213"/>
            <w:shd w:val="clear" w:color="auto" w:fill="F3EFE6"/>
          </w:tcPr>
          <w:p>
            <w:pPr>
              <w:spacing w:after="0" w:before="0"/>
            </w:pPr>
            <w:r/>
            <w:r>
              <w:rPr>
                <w:b w:val="0"/>
                <w:i w:val="0"/>
                <w:color w:val="1A1A1A"/>
                <w:sz w:val="18"/>
              </w:rPr>
              <w:t>Rezertifizierung</w:t>
            </w:r>
          </w:p>
        </w:tc>
        <w:tc>
          <w:tcPr>
            <w:tcW w:type="dxa" w:w="3213"/>
            <w:shd w:val="clear" w:color="auto" w:fill="F3EFE6"/>
          </w:tcPr>
          <w:p>
            <w:pPr>
              <w:spacing w:after="0" w:before="0"/>
            </w:pPr>
            <w:r/>
            <w:r>
              <w:rPr>
                <w:b w:val="0"/>
                <w:i w:val="0"/>
                <w:color w:val="1A1A1A"/>
                <w:sz w:val="18"/>
              </w:rPr>
              <w:t>Winter, vor Ablauf des Zertifikats</w:t>
            </w:r>
          </w:p>
        </w:tc>
        <w:tc>
          <w:tcPr>
            <w:tcW w:type="dxa" w:w="3213"/>
            <w:shd w:val="clear" w:color="auto" w:fill="F3EFE6"/>
          </w:tcPr>
          <w:p>
            <w:pPr>
              <w:spacing w:after="0" w:before="0"/>
            </w:pPr>
            <w:r/>
            <w:r>
              <w:rPr>
                <w:b w:val="0"/>
                <w:i w:val="0"/>
                <w:color w:val="1A1A1A"/>
                <w:sz w:val="18"/>
              </w:rPr>
              <w:t>der ganze Zyklus und die Umstellungen seither (4.11)</w:t>
            </w:r>
          </w:p>
        </w:tc>
      </w:tr>
    </w:tbl>
    <w:p>
      <w:pPr>
        <w:spacing w:after="40"/>
      </w:pPr>
    </w:p>
    <w:p>
      <w:pPr>
        <w:pStyle w:val="Heading2"/>
      </w:pPr>
      <w:r>
        <w:t>Praktische Anwendung: das erste Überwachungsaudit in sieben Schritten vorbereiten</w:t>
      </w:r>
    </w:p>
    <w:p>
      <w:pPr>
        <w:tabs>
          <w:tab w:pos="340" w:val="left"/>
        </w:tabs>
        <w:ind w:left="340" w:hanging="340"/>
      </w:pPr>
      <w:r>
        <w:rPr>
          <w:b/>
          <w:color w:val="8C5A2B"/>
        </w:rPr>
        <w:t>1.</w:t>
        <w:tab/>
      </w:r>
      <w:r>
        <w:rPr>
          <w:b/>
        </w:rPr>
        <w:t>Das Fenster ausrechnen.</w:t>
      </w:r>
      <w:r>
        <w:t xml:space="preserve"> Tragen Sie das Datum der Zertifizierungsentscheidung und den Tag zwölf Monate danach in den Kalender der Direktion ein. Ein Termin wird nie an das Ende des Fensters gelegt.</w:t>
      </w:r>
    </w:p>
    <w:p>
      <w:pPr>
        <w:tabs>
          <w:tab w:pos="340" w:val="left"/>
        </w:tabs>
        <w:ind w:left="340" w:hanging="340"/>
      </w:pPr>
      <w:r>
        <w:rPr>
          <w:b/>
          <w:color w:val="8C5A2B"/>
        </w:rPr>
        <w:t>2.</w:t>
        <w:tab/>
      </w:r>
      <w:r>
        <w:rPr>
          <w:b/>
        </w:rPr>
        <w:t>Einen Tag unter Last vorschlagen.</w:t>
      </w:r>
      <w:r>
        <w:t xml:space="preserve"> Nennen Sie der Stelle zwei oder drei Termine, an denen das Haus zeigt, was es in seiner Saison ist. Ein ruhiger Tag schont das System und zeigt nichts.</w:t>
      </w:r>
    </w:p>
    <w:p>
      <w:pPr>
        <w:tabs>
          <w:tab w:pos="340" w:val="left"/>
        </w:tabs>
        <w:ind w:left="340" w:hanging="340"/>
      </w:pPr>
      <w:r>
        <w:rPr>
          <w:b/>
          <w:color w:val="8C5A2B"/>
        </w:rPr>
        <w:t>3.</w:t>
        <w:tab/>
      </w:r>
      <w:r>
        <w:rPr>
          <w:b/>
        </w:rPr>
        <w:t>Die Liste aller Veranstaltungen führen.</w:t>
      </w:r>
      <w:r>
        <w:t xml:space="preserve"> Datum, Art, Gäste, Rolle des Hauses, und daneben, ob es eine Lehrennotiz gibt. Diese Liste geht an die Stelle, nicht der Ordner.</w:t>
      </w:r>
    </w:p>
    <w:p>
      <w:pPr>
        <w:tabs>
          <w:tab w:pos="340" w:val="left"/>
        </w:tabs>
        <w:ind w:left="340" w:hanging="340"/>
      </w:pPr>
      <w:r>
        <w:rPr>
          <w:b/>
          <w:color w:val="8C5A2B"/>
        </w:rPr>
        <w:t>4.</w:t>
        <w:tab/>
      </w:r>
      <w:r>
        <w:rPr>
          <w:b/>
        </w:rPr>
        <w:t>Die Daten nach der Entscheidung prüfen.</w:t>
      </w:r>
      <w:r>
        <w:t xml:space="preserve"> Zählen Sie die Aufzeichnungen, die seit dem Zertifikat entstanden sind: Notizen, Messblätter, Nichtkonformitäten. Eine Lücke, die Sie selbst finden, schließen Sie früher.</w:t>
      </w:r>
    </w:p>
    <w:p>
      <w:pPr>
        <w:tabs>
          <w:tab w:pos="340" w:val="left"/>
        </w:tabs>
        <w:ind w:left="340" w:hanging="340"/>
      </w:pPr>
      <w:r>
        <w:rPr>
          <w:b/>
          <w:color w:val="8C5A2B"/>
        </w:rPr>
        <w:t>5.</w:t>
        <w:tab/>
      </w:r>
      <w:r>
        <w:rPr>
          <w:b/>
        </w:rPr>
        <w:t>Lehren in die Planung bringen.</w:t>
      </w:r>
      <w:r>
        <w:t xml:space="preserve"> Legen Sie fest, dass jedes neue Bankettformular mit der letzten Notiz zur gleichen Art von Veranstaltung beginnt. Kopierte Angebote kennen die Lehre nicht.</w:t>
      </w:r>
    </w:p>
    <w:p>
      <w:pPr>
        <w:tabs>
          <w:tab w:pos="340" w:val="left"/>
        </w:tabs>
        <w:ind w:left="340" w:hanging="340"/>
      </w:pPr>
      <w:r>
        <w:rPr>
          <w:b/>
          <w:color w:val="8C5A2B"/>
        </w:rPr>
        <w:t>6.</w:t>
        <w:tab/>
      </w:r>
      <w:r>
        <w:rPr>
          <w:b/>
        </w:rPr>
        <w:t>Internes Audit und Managementbewertung aus der vollen Liste speisen.</w:t>
      </w:r>
      <w:r>
        <w:t xml:space="preserve"> Die interne Auditorin zieht aus allen Veranstaltungen. Die Managementbewertung nennt, aus wie vielen Notizen ihre Lehren stammen.</w:t>
      </w:r>
    </w:p>
    <w:p>
      <w:pPr>
        <w:tabs>
          <w:tab w:pos="340" w:val="left"/>
        </w:tabs>
        <w:ind w:left="340" w:hanging="340"/>
      </w:pPr>
      <w:r>
        <w:rPr>
          <w:b/>
          <w:color w:val="8C5A2B"/>
        </w:rPr>
        <w:t>7.</w:t>
        <w:tab/>
      </w:r>
      <w:r>
        <w:rPr>
          <w:b/>
        </w:rPr>
        <w:t>Die Saisonkräfte einweisen.</w:t>
      </w:r>
      <w:r>
        <w:t xml:space="preserve"> Wer im Dezember kommt, erfährt, was das Haus im Vorjahr gelernt hat, an seinem eigenen Arbeitsplatz.</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Fenster ausrechnen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Einen Tag unter Last vorschlagen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Liste aller Veranstaltungen führen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Daten nach der Entscheidung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Lehren in die Planung bringen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Internes Audit und Managementbewertung aus der vollen Liste speisen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Saisonkräfte einweisen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Kennen wir das Datum der Zertifizierungsentscheidung und das Ende des Fensters für die erste Überwachung?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der Stelle einen Termin vorgeschlagen, an dem das Haus unter Last arbeitet?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Führen wir eine Liste aller Veranstaltungen im Anwendungsbereich seit der Entscheidung?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zu jeder Veranstaltung seit dem Zertifikat eine Lehrennotiz?</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Beginnt die Planung jeder Veranstaltung mit der letzten Lehre zur gleichen Art?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Zog das interne Audit seine Stichprobe aus allen Veranstaltungen?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Nennt die Managementbewertung, worauf ihre Aussage zu den Lehren beruht?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Wissen die Saisonkräfte, was das Haus im Vorjahr gelernt hat?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Das Zertifikat als Ziellinie behandeln.</w:t>
      </w:r>
      <w:r>
        <w:t xml:space="preserve"> Es beschreibt einen vergangenen Tag, und die Überwachung fragt nach den Monaten danach.</w:t>
      </w:r>
    </w:p>
    <w:p>
      <w:pPr>
        <w:tabs>
          <w:tab w:pos="340" w:val="left"/>
        </w:tabs>
        <w:ind w:left="340" w:hanging="340"/>
      </w:pPr>
      <w:r>
        <w:rPr>
          <w:color w:val="8C5A2B"/>
        </w:rPr>
        <w:t>–</w:t>
        <w:tab/>
      </w:r>
      <w:r>
        <w:rPr>
          <w:b/>
        </w:rPr>
        <w:t>Für den Auditor aufschreiben.</w:t>
      </w:r>
      <w:r>
        <w:t xml:space="preserve"> Was für den Prüfer geschrieben wird, endet, wenn er gegangen ist.</w:t>
      </w:r>
    </w:p>
    <w:p>
      <w:pPr>
        <w:tabs>
          <w:tab w:pos="340" w:val="left"/>
        </w:tabs>
        <w:ind w:left="340" w:hanging="340"/>
      </w:pPr>
      <w:r>
        <w:rPr>
          <w:color w:val="8C5A2B"/>
        </w:rPr>
        <w:t>–</w:t>
        <w:tab/>
      </w:r>
      <w:r>
        <w:rPr>
          <w:b/>
        </w:rPr>
        <w:t>Einen ruhigen Termin wünschen.</w:t>
      </w:r>
      <w:r>
        <w:t xml:space="preserve"> Das Audit findet dann nichts, und das Haus erfährt nichts.</w:t>
      </w:r>
    </w:p>
    <w:p>
      <w:pPr>
        <w:tabs>
          <w:tab w:pos="340" w:val="left"/>
        </w:tabs>
        <w:ind w:left="340" w:hanging="340"/>
      </w:pPr>
      <w:r>
        <w:rPr>
          <w:color w:val="8C5A2B"/>
        </w:rPr>
        <w:t>–</w:t>
        <w:tab/>
      </w:r>
      <w:r>
        <w:rPr>
          <w:b/>
        </w:rPr>
        <w:t>Den Ordner statt der Liste geben.</w:t>
      </w:r>
      <w:r>
        <w:t xml:space="preserve"> Wer nur zeigt, was aufgeschrieben ist, verbirgt, was fehlt, auch vor sich selbst.</w:t>
      </w:r>
    </w:p>
    <w:p>
      <w:pPr>
        <w:tabs>
          <w:tab w:pos="340" w:val="left"/>
        </w:tabs>
        <w:ind w:left="340" w:hanging="340"/>
      </w:pPr>
      <w:r>
        <w:rPr>
          <w:color w:val="8C5A2B"/>
        </w:rPr>
        <w:t>–</w:t>
        <w:tab/>
      </w:r>
      <w:r>
        <w:rPr>
          <w:b/>
        </w:rPr>
        <w:t>Angebote des Vorjahres kopieren.</w:t>
      </w:r>
      <w:r>
        <w:t xml:space="preserve"> Die Lehre, die nach dem Fest geschrieben wurde, steht nicht darin.</w:t>
      </w:r>
    </w:p>
    <w:p>
      <w:pPr>
        <w:tabs>
          <w:tab w:pos="340" w:val="left"/>
        </w:tabs>
        <w:ind w:left="340" w:hanging="340"/>
      </w:pPr>
      <w:r>
        <w:rPr>
          <w:color w:val="8C5A2B"/>
        </w:rPr>
        <w:t>–</w:t>
        <w:tab/>
      </w:r>
      <w:r>
        <w:rPr>
          <w:b/>
        </w:rPr>
        <w:t>Das Fenster ausreizen.</w:t>
      </w:r>
      <w:r>
        <w:t xml:space="preserve"> Eine Verschiebung am Ende des Fensters kann das Zertifikat kosten.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Überwachungsaudit: 1,5 Auditortage zu € 1.300</w:t>
            </w:r>
          </w:p>
        </w:tc>
        <w:tc>
          <w:tcPr>
            <w:tcW w:type="dxa" w:w="1474"/>
          </w:tcPr>
          <w:p>
            <w:pPr>
              <w:spacing w:after="0" w:before="0"/>
            </w:pPr>
            <w:r/>
            <w:r>
              <w:rPr>
                <w:b w:val="0"/>
                <w:i w:val="0"/>
                <w:color w:val="1A1A1A"/>
                <w:sz w:val="18"/>
              </w:rPr>
              <w:t>€ 1.950</w:t>
            </w:r>
          </w:p>
        </w:tc>
        <w:tc>
          <w:tcPr>
            <w:tcW w:type="dxa" w:w="3175"/>
          </w:tcPr>
          <w:p>
            <w:pPr>
              <w:spacing w:after="0" w:before="0"/>
            </w:pPr>
            <w:r/>
            <w:r>
              <w:rPr>
                <w:b w:val="0"/>
                <w:i w:val="0"/>
                <w:color w:val="1A1A1A"/>
                <w:sz w:val="18"/>
              </w:rPr>
              <w:t>Annahme; dazu Reisekosten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Reisekosten und Übernachtung des Auditors</w:t>
            </w:r>
          </w:p>
        </w:tc>
        <w:tc>
          <w:tcPr>
            <w:tcW w:type="dxa" w:w="1474"/>
            <w:shd w:val="clear" w:color="auto" w:fill="F3EFE6"/>
          </w:tcPr>
          <w:p>
            <w:pPr>
              <w:spacing w:after="0" w:before="0"/>
            </w:pPr>
            <w:r/>
            <w:r>
              <w:rPr>
                <w:b w:val="0"/>
                <w:i w:val="0"/>
                <w:color w:val="1A1A1A"/>
                <w:sz w:val="18"/>
              </w:rPr>
              <w:t>€ 320</w:t>
            </w:r>
          </w:p>
        </w:tc>
        <w:tc>
          <w:tcPr>
            <w:tcW w:type="dxa" w:w="3175"/>
            <w:shd w:val="clear" w:color="auto" w:fill="F3EFE6"/>
          </w:tcPr>
          <w:p>
            <w:pPr>
              <w:spacing w:after="0" w:before="0"/>
            </w:pPr>
            <w:r/>
            <w:r>
              <w:rPr>
                <w:b w:val="0"/>
                <w:i w:val="0"/>
                <w:color w:val="1A1A1A"/>
                <w:sz w:val="18"/>
              </w:rPr>
              <w:t>Annahme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Begleitung und Unterlagen durch das Haus</w:t>
            </w:r>
          </w:p>
        </w:tc>
        <w:tc>
          <w:tcPr>
            <w:tcW w:type="dxa" w:w="1474"/>
          </w:tcPr>
          <w:p>
            <w:pPr>
              <w:spacing w:after="0" w:before="0"/>
            </w:pPr>
            <w:r/>
            <w:r>
              <w:rPr>
                <w:b w:val="0"/>
                <w:i w:val="0"/>
                <w:color w:val="1A1A1A"/>
                <w:sz w:val="18"/>
              </w:rPr>
              <w:t>10 Stunden</w:t>
            </w:r>
          </w:p>
        </w:tc>
        <w:tc>
          <w:tcPr>
            <w:tcW w:type="dxa" w:w="3175"/>
          </w:tcPr>
          <w:p>
            <w:pPr>
              <w:spacing w:after="0" w:before="0"/>
            </w:pPr>
            <w:r/>
            <w:r>
              <w:rPr>
                <w:b w:val="0"/>
                <w:i w:val="0"/>
                <w:color w:val="1A1A1A"/>
                <w:sz w:val="18"/>
              </w:rPr>
              <w:t>Direktor und Eventleiterin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Lehrennotiz je Veranstaltung: 110 Feste zu 10 Minuten</w:t>
            </w:r>
          </w:p>
        </w:tc>
        <w:tc>
          <w:tcPr>
            <w:tcW w:type="dxa" w:w="1474"/>
            <w:shd w:val="clear" w:color="auto" w:fill="F3EFE6"/>
          </w:tcPr>
          <w:p>
            <w:pPr>
              <w:spacing w:after="0" w:before="0"/>
            </w:pPr>
            <w:r/>
            <w:r>
              <w:rPr>
                <w:b w:val="0"/>
                <w:i w:val="0"/>
                <w:color w:val="1A1A1A"/>
                <w:sz w:val="18"/>
              </w:rPr>
              <w:t>gut 18 Stunden</w:t>
            </w:r>
          </w:p>
        </w:tc>
        <w:tc>
          <w:tcPr>
            <w:tcW w:type="dxa" w:w="3175"/>
            <w:shd w:val="clear" w:color="auto" w:fill="F3EFE6"/>
          </w:tcPr>
          <w:p>
            <w:pPr>
              <w:spacing w:after="0" w:before="0"/>
            </w:pPr>
            <w:r/>
            <w:r>
              <w:rPr>
                <w:b w:val="0"/>
                <w:i w:val="0"/>
                <w:color w:val="1A1A1A"/>
                <w:sz w:val="18"/>
              </w:rPr>
              <w:t>jährlich, Eventleitung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500 zusätzliche Mehrwegbecher zu € 1,20</w:t>
            </w:r>
          </w:p>
        </w:tc>
        <w:tc>
          <w:tcPr>
            <w:tcW w:type="dxa" w:w="1474"/>
          </w:tcPr>
          <w:p>
            <w:pPr>
              <w:spacing w:after="0" w:before="0"/>
            </w:pPr>
            <w:r/>
            <w:r>
              <w:rPr>
                <w:b w:val="0"/>
                <w:i w:val="0"/>
                <w:color w:val="1A1A1A"/>
                <w:sz w:val="18"/>
              </w:rPr>
              <w:t>€ 600</w:t>
            </w:r>
          </w:p>
        </w:tc>
        <w:tc>
          <w:tcPr>
            <w:tcW w:type="dxa" w:w="3175"/>
          </w:tcPr>
          <w:p>
            <w:pPr>
              <w:spacing w:after="0" w:before="0"/>
            </w:pPr>
            <w:r/>
            <w:r>
              <w:rPr>
                <w:b w:val="0"/>
                <w:i w:val="0"/>
                <w:color w:val="1A1A1A"/>
                <w:sz w:val="18"/>
              </w:rPr>
              <w:t>einmalig; Pfand deckt Verluste teilweise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Spülkraft an 8 Renntagen zu 6 Stunden und € 24</w:t>
            </w:r>
          </w:p>
        </w:tc>
        <w:tc>
          <w:tcPr>
            <w:tcW w:type="dxa" w:w="1474"/>
            <w:shd w:val="clear" w:color="auto" w:fill="F3EFE6"/>
          </w:tcPr>
          <w:p>
            <w:pPr>
              <w:spacing w:after="0" w:before="0"/>
            </w:pPr>
            <w:r/>
            <w:r>
              <w:rPr>
                <w:b w:val="0"/>
                <w:i w:val="0"/>
                <w:color w:val="1A1A1A"/>
                <w:sz w:val="18"/>
              </w:rPr>
              <w:t>€ 1.152</w:t>
            </w:r>
          </w:p>
        </w:tc>
        <w:tc>
          <w:tcPr>
            <w:tcW w:type="dxa" w:w="3175"/>
            <w:shd w:val="clear" w:color="auto" w:fill="F3EFE6"/>
          </w:tcPr>
          <w:p>
            <w:pPr>
              <w:spacing w:after="0" w:before="0"/>
            </w:pPr>
            <w:r/>
            <w:r>
              <w:rPr>
                <w:b w:val="0"/>
                <w:i w:val="0"/>
                <w:color w:val="1A1A1A"/>
                <w:sz w:val="18"/>
              </w:rPr>
              <w:t>je Winter</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Stunden und Geld nebeneinander, ohne sie zu verrechnen. Achtzehn Stunden im Jahr für die Lehrennotizen sind weniger, als das Haus für die Vorbereitung eines Audits aufwendet, das eine Lücke von acht Monaten erklären muss. Die Becher und die Spülkraft kosten Geld, und Einweg spart es an diesem Abend. Ob sich das Pfand rechnet, zeigt erst ein Winter; die Rechnung behauptet es nicht.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Überwachung mindestens einmal je Kalenderjahr, die erste spätestens nach 12 Monaten (ISO/IEC 17021-1, Pflicht der Stelle)</w:t>
            </w:r>
          </w:p>
        </w:tc>
        <w:tc>
          <w:tcPr>
            <w:tcW w:type="dxa" w:w="3175"/>
          </w:tcPr>
          <w:p>
            <w:pPr>
              <w:spacing w:after="0" w:before="0"/>
            </w:pPr>
            <w:r/>
            <w:r>
              <w:rPr>
                <w:b w:val="0"/>
                <w:i w:val="0"/>
                <w:color w:val="1A1A1A"/>
                <w:sz w:val="18"/>
              </w:rPr>
              <w:t>Vertrag, Datum der Entscheidung, Auditplan</w:t>
            </w:r>
          </w:p>
        </w:tc>
        <w:tc>
          <w:tcPr>
            <w:tcW w:type="dxa" w:w="3175"/>
          </w:tcPr>
          <w:p>
            <w:pPr>
              <w:spacing w:after="0" w:before="0"/>
            </w:pPr>
            <w:r/>
            <w:r>
              <w:rPr>
                <w:b w:val="0"/>
                <w:i w:val="0"/>
                <w:color w:val="1A1A1A"/>
                <w:sz w:val="18"/>
              </w:rPr>
              <w:t>Methode: Termin in der Saison vorschlagen</w:t>
            </w:r>
          </w:p>
        </w:tc>
      </w:tr>
      <w:tr>
        <w:trPr>
          <w:cantSplit w:val="true"/>
        </w:trPr>
        <w:tc>
          <w:tcPr>
            <w:tcW w:type="dxa" w:w="3288"/>
            <w:shd w:val="clear" w:color="auto" w:fill="F3EFE6"/>
          </w:tcPr>
          <w:p>
            <w:pPr>
              <w:spacing w:after="0" w:before="0"/>
            </w:pPr>
            <w:r/>
            <w:r>
              <w:rPr>
                <w:b w:val="0"/>
                <w:i w:val="0"/>
                <w:color w:val="1A1A1A"/>
                <w:sz w:val="18"/>
              </w:rPr>
              <w:t>System aufrechterhalten und fortlaufend verbessern (4.4, 10.1)</w:t>
            </w:r>
          </w:p>
        </w:tc>
        <w:tc>
          <w:tcPr>
            <w:tcW w:type="dxa" w:w="3175"/>
            <w:shd w:val="clear" w:color="auto" w:fill="F3EFE6"/>
          </w:tcPr>
          <w:p>
            <w:pPr>
              <w:spacing w:after="0" w:before="0"/>
            </w:pPr>
            <w:r/>
            <w:r>
              <w:rPr>
                <w:b w:val="0"/>
                <w:i w:val="0"/>
                <w:color w:val="1A1A1A"/>
                <w:sz w:val="18"/>
              </w:rPr>
              <w:t>Aufzeichnungen mit Datum nach der Entscheidung</w:t>
            </w:r>
          </w:p>
        </w:tc>
        <w:tc>
          <w:tcPr>
            <w:tcW w:type="dxa" w:w="3175"/>
            <w:shd w:val="clear" w:color="auto" w:fill="F3EFE6"/>
          </w:tcPr>
          <w:p>
            <w:pPr>
              <w:spacing w:after="0" w:before="0"/>
            </w:pPr>
            <w:r/>
            <w:r>
              <w:rPr>
                <w:b w:val="0"/>
                <w:i w:val="0"/>
                <w:color w:val="1A1A1A"/>
                <w:sz w:val="18"/>
              </w:rPr>
              <w:t>Methode: Liste aller Veranstaltungen statt Ordner</w:t>
            </w:r>
          </w:p>
        </w:tc>
      </w:tr>
      <w:tr>
        <w:trPr>
          <w:cantSplit w:val="true"/>
        </w:trPr>
        <w:tc>
          <w:tcPr>
            <w:tcW w:type="dxa" w:w="3288"/>
          </w:tcPr>
          <w:p>
            <w:pPr>
              <w:spacing w:after="0" w:before="0"/>
            </w:pPr>
            <w:r/>
            <w:r>
              <w:rPr>
                <w:b w:val="0"/>
                <w:i w:val="0"/>
                <w:color w:val="1A1A1A"/>
                <w:sz w:val="18"/>
              </w:rPr>
              <w:t>Lehren aus jeder Veranstaltung ermitteln und einspeisen (9.1 c)</w:t>
            </w:r>
          </w:p>
        </w:tc>
        <w:tc>
          <w:tcPr>
            <w:tcW w:type="dxa" w:w="3175"/>
          </w:tcPr>
          <w:p>
            <w:pPr>
              <w:spacing w:after="0" w:before="0"/>
            </w:pPr>
            <w:r/>
            <w:r>
              <w:rPr>
                <w:b w:val="0"/>
                <w:i w:val="0"/>
                <w:color w:val="1A1A1A"/>
                <w:sz w:val="18"/>
              </w:rPr>
              <w:t>Lehrennotiz je Fest; Bankettformular, das sie übernimmt</w:t>
            </w:r>
          </w:p>
        </w:tc>
        <w:tc>
          <w:tcPr>
            <w:tcW w:type="dxa" w:w="3175"/>
          </w:tcPr>
          <w:p>
            <w:pPr>
              <w:spacing w:after="0" w:before="0"/>
            </w:pPr>
            <w:r/>
            <w:r>
              <w:rPr>
                <w:b w:val="0"/>
                <w:i w:val="0"/>
                <w:color w:val="1A1A1A"/>
                <w:sz w:val="18"/>
              </w:rPr>
              <w:t>Methode: Pflichtfeld im Formular; Zugänglichkeit nur als Soll</w:t>
            </w:r>
          </w:p>
        </w:tc>
      </w:tr>
      <w:tr>
        <w:trPr>
          <w:cantSplit w:val="true"/>
        </w:trPr>
        <w:tc>
          <w:tcPr>
            <w:tcW w:type="dxa" w:w="3288"/>
            <w:shd w:val="clear" w:color="auto" w:fill="F3EFE6"/>
          </w:tcPr>
          <w:p>
            <w:pPr>
              <w:spacing w:after="0" w:before="0"/>
            </w:pPr>
            <w:r/>
            <w:r>
              <w:rPr>
                <w:b w:val="0"/>
                <w:i w:val="0"/>
                <w:color w:val="1A1A1A"/>
                <w:sz w:val="18"/>
              </w:rPr>
              <w:t>Interne Audits in geplanten Abständen (9.2)</w:t>
            </w:r>
          </w:p>
        </w:tc>
        <w:tc>
          <w:tcPr>
            <w:tcW w:type="dxa" w:w="3175"/>
            <w:shd w:val="clear" w:color="auto" w:fill="F3EFE6"/>
          </w:tcPr>
          <w:p>
            <w:pPr>
              <w:spacing w:after="0" w:before="0"/>
            </w:pPr>
            <w:r/>
            <w:r>
              <w:rPr>
                <w:b w:val="0"/>
                <w:i w:val="0"/>
                <w:color w:val="1A1A1A"/>
                <w:sz w:val="18"/>
              </w:rPr>
              <w:t>Programm und Bericht vom Oktober</w:t>
            </w:r>
          </w:p>
        </w:tc>
        <w:tc>
          <w:tcPr>
            <w:tcW w:type="dxa" w:w="3175"/>
            <w:shd w:val="clear" w:color="auto" w:fill="F3EFE6"/>
          </w:tcPr>
          <w:p>
            <w:pPr>
              <w:spacing w:after="0" w:before="0"/>
            </w:pPr>
            <w:r/>
            <w:r>
              <w:rPr>
                <w:b w:val="0"/>
                <w:i w:val="0"/>
                <w:color w:val="1A1A1A"/>
                <w:sz w:val="18"/>
              </w:rPr>
              <w:t>ISO 19011:2026: Programm nach Größe, Komplexität, Risiken, Reifegrad</w:t>
            </w:r>
          </w:p>
        </w:tc>
      </w:tr>
      <w:tr>
        <w:trPr>
          <w:cantSplit w:val="true"/>
        </w:trPr>
        <w:tc>
          <w:tcPr>
            <w:tcW w:type="dxa" w:w="3288"/>
          </w:tcPr>
          <w:p>
            <w:pPr>
              <w:spacing w:after="0" w:before="0"/>
            </w:pPr>
            <w:r/>
            <w:r>
              <w:rPr>
                <w:b w:val="0"/>
                <w:i w:val="0"/>
                <w:color w:val="1A1A1A"/>
                <w:sz w:val="18"/>
              </w:rPr>
              <w:t>Managementbewertung; Abstände so, dass über Veranstaltungen hinweg gelernt wird (9.3.1, 9.3.3)</w:t>
            </w:r>
          </w:p>
        </w:tc>
        <w:tc>
          <w:tcPr>
            <w:tcW w:type="dxa" w:w="3175"/>
          </w:tcPr>
          <w:p>
            <w:pPr>
              <w:spacing w:after="0" w:before="0"/>
            </w:pPr>
            <w:r/>
            <w:r>
              <w:rPr>
                <w:b w:val="0"/>
                <w:i w:val="0"/>
                <w:color w:val="1A1A1A"/>
                <w:sz w:val="18"/>
              </w:rPr>
              <w:t>Protokoll mit Zahl der ausgewerteten Notizen</w:t>
            </w:r>
          </w:p>
        </w:tc>
        <w:tc>
          <w:tcPr>
            <w:tcW w:type="dxa" w:w="3175"/>
          </w:tcPr>
          <w:p>
            <w:pPr>
              <w:spacing w:after="0" w:before="0"/>
            </w:pPr>
            <w:r/>
            <w:r>
              <w:rPr>
                <w:b w:val="0"/>
                <w:i w:val="0"/>
                <w:color w:val="1A1A1A"/>
                <w:sz w:val="18"/>
              </w:rPr>
              <w:t>A.22: muss nicht bis nach der Veranstaltung warten</w:t>
            </w:r>
          </w:p>
        </w:tc>
      </w:tr>
      <w:tr>
        <w:trPr>
          <w:cantSplit w:val="true"/>
        </w:trPr>
        <w:tc>
          <w:tcPr>
            <w:tcW w:type="dxa" w:w="3288"/>
            <w:shd w:val="clear" w:color="auto" w:fill="F3EFE6"/>
          </w:tcPr>
          <w:p>
            <w:pPr>
              <w:spacing w:after="0" w:before="0"/>
            </w:pPr>
            <w:r/>
            <w:r>
              <w:rPr>
                <w:b w:val="0"/>
                <w:i w:val="0"/>
                <w:color w:val="1A1A1A"/>
                <w:sz w:val="18"/>
              </w:rPr>
              <w:t>Nichtkonformitäten behandeln, Wirksamkeit prüfen (10.2)</w:t>
            </w:r>
          </w:p>
        </w:tc>
        <w:tc>
          <w:tcPr>
            <w:tcW w:type="dxa" w:w="3175"/>
            <w:shd w:val="clear" w:color="auto" w:fill="F3EFE6"/>
          </w:tcPr>
          <w:p>
            <w:pPr>
              <w:spacing w:after="0" w:before="0"/>
            </w:pPr>
            <w:r/>
            <w:r>
              <w:rPr>
                <w:b w:val="0"/>
                <w:i w:val="0"/>
                <w:color w:val="1A1A1A"/>
                <w:sz w:val="18"/>
              </w:rPr>
              <w:t>Maßnahmen aus Stufe 2 mit Nachweis</w:t>
            </w:r>
          </w:p>
        </w:tc>
        <w:tc>
          <w:tcPr>
            <w:tcW w:type="dxa" w:w="3175"/>
            <w:shd w:val="clear" w:color="auto" w:fill="F3EFE6"/>
          </w:tcPr>
          <w:p>
            <w:pPr>
              <w:spacing w:after="0" w:before="0"/>
            </w:pPr>
            <w:r/>
            <w:r>
              <w:rPr>
                <w:b w:val="0"/>
                <w:i w:val="0"/>
                <w:color w:val="1A1A1A"/>
                <w:sz w:val="18"/>
              </w:rPr>
              <w:t>Methode: Wirksamkeit an mehreren Festen prüfen</w:t>
            </w:r>
          </w:p>
        </w:tc>
      </w:tr>
    </w:tbl>
    <w:p>
      <w:pPr>
        <w:spacing w:after="40"/>
      </w:pPr>
    </w:p>
    <w:p>
      <w:pPr>
        <w:pStyle w:val="Heading2"/>
      </w:pPr>
      <w:r>
        <w:t>DACH-Anker: was neben der Überwachung gilt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Antrag bei der DAkkS; Entscheidung stand im September 2026 aus</w:t>
            </w:r>
          </w:p>
        </w:tc>
        <w:tc>
          <w:tcPr>
            <w:tcW w:type="dxa" w:w="2721"/>
          </w:tcPr>
          <w:p>
            <w:pPr>
              <w:spacing w:after="0" w:before="0"/>
            </w:pPr>
            <w:r/>
            <w:r>
              <w:rPr>
                <w:b w:val="0"/>
                <w:i w:val="0"/>
                <w:color w:val="1A1A1A"/>
                <w:sz w:val="17"/>
              </w:rPr>
              <w:t>bis Redaktionsschluss keine nachgewiesen</w:t>
            </w:r>
          </w:p>
        </w:tc>
        <w:tc>
          <w:tcPr>
            <w:tcW w:type="dxa" w:w="2721"/>
          </w:tcPr>
          <w:p>
            <w:pPr>
              <w:spacing w:after="0" w:before="0"/>
            </w:pPr>
            <w:r/>
            <w:r>
              <w:rPr>
                <w:b w:val="0"/>
                <w:i w:val="0"/>
                <w:color w:val="1A1A1A"/>
                <w:sz w:val="17"/>
              </w:rPr>
              <w:t>bis Redaktionsschluss keine nachgewiesen</w:t>
            </w:r>
          </w:p>
        </w:tc>
      </w:tr>
      <w:tr>
        <w:trPr>
          <w:cantSplit w:val="true"/>
        </w:trPr>
        <w:tc>
          <w:tcPr>
            <w:tcW w:type="dxa" w:w="1474"/>
            <w:shd w:val="clear" w:color="auto" w:fill="F3EFE6"/>
          </w:tcPr>
          <w:p>
            <w:pPr>
              <w:spacing w:after="0" w:before="0"/>
            </w:pPr>
            <w:r/>
            <w:r>
              <w:rPr>
                <w:b w:val="0"/>
                <w:i w:val="0"/>
                <w:color w:val="1A1A1A"/>
                <w:sz w:val="17"/>
              </w:rPr>
              <w:t>Regeln für die Stelle</w:t>
            </w:r>
          </w:p>
        </w:tc>
        <w:tc>
          <w:tcPr>
            <w:tcW w:type="dxa" w:w="2721"/>
            <w:shd w:val="clear" w:color="auto" w:fill="F3EFE6"/>
          </w:tcPr>
          <w:p>
            <w:pPr>
              <w:spacing w:after="0" w:before="0"/>
            </w:pPr>
            <w:r/>
            <w:r>
              <w:rPr>
                <w:b w:val="0"/>
                <w:i w:val="0"/>
                <w:color w:val="1A1A1A"/>
                <w:sz w:val="17"/>
              </w:rPr>
              <w:t>ISO/IEC 17021-1; Akkreditierung durch die DAkkS</w:t>
            </w:r>
          </w:p>
        </w:tc>
        <w:tc>
          <w:tcPr>
            <w:tcW w:type="dxa" w:w="2721"/>
            <w:shd w:val="clear" w:color="auto" w:fill="F3EFE6"/>
          </w:tcPr>
          <w:p>
            <w:pPr>
              <w:spacing w:after="0" w:before="0"/>
            </w:pPr>
            <w:r/>
            <w:r>
              <w:rPr>
                <w:b w:val="0"/>
                <w:i w:val="0"/>
                <w:color w:val="1A1A1A"/>
                <w:sz w:val="17"/>
              </w:rPr>
              <w:t>ISO/IEC 17021-1; Leitfaden L08 der Akkreditierung Austria, gültig seit 19. März 2025</w:t>
            </w:r>
          </w:p>
        </w:tc>
        <w:tc>
          <w:tcPr>
            <w:tcW w:type="dxa" w:w="2721"/>
            <w:shd w:val="clear" w:color="auto" w:fill="F3EFE6"/>
          </w:tcPr>
          <w:p>
            <w:pPr>
              <w:spacing w:after="0" w:before="0"/>
            </w:pPr>
            <w:r/>
            <w:r>
              <w:rPr>
                <w:b w:val="0"/>
                <w:i w:val="0"/>
                <w:color w:val="1A1A1A"/>
                <w:sz w:val="17"/>
              </w:rPr>
              <w:t>ISO/IEC 17021-1; SAS, Auftritt über das SECO</w:t>
            </w:r>
          </w:p>
        </w:tc>
      </w:tr>
      <w:tr>
        <w:trPr>
          <w:cantSplit w:val="true"/>
        </w:trPr>
        <w:tc>
          <w:tcPr>
            <w:tcW w:type="dxa" w:w="1474"/>
          </w:tcPr>
          <w:p>
            <w:pPr>
              <w:spacing w:after="0" w:before="0"/>
            </w:pPr>
            <w:r/>
            <w:r>
              <w:rPr>
                <w:b w:val="0"/>
                <w:i w:val="0"/>
                <w:color w:val="1A1A1A"/>
                <w:sz w:val="17"/>
              </w:rPr>
              <w:t>IAF-Dokumente</w:t>
            </w:r>
          </w:p>
        </w:tc>
        <w:tc>
          <w:tcPr>
            <w:tcW w:type="dxa" w:w="2721"/>
          </w:tcPr>
          <w:p>
            <w:pPr>
              <w:spacing w:after="0" w:before="0"/>
            </w:pPr>
            <w:r/>
            <w:r>
              <w:rPr>
                <w:b w:val="0"/>
                <w:i w:val="0"/>
                <w:color w:val="1A1A1A"/>
                <w:sz w:val="17"/>
              </w:rPr>
              <w:t>gelten weiter bis zum Ersatz durch Global ACI</w:t>
            </w:r>
          </w:p>
        </w:tc>
        <w:tc>
          <w:tcPr>
            <w:tcW w:type="dxa" w:w="2721"/>
          </w:tcPr>
          <w:p>
            <w:pPr>
              <w:spacing w:after="0" w:before="0"/>
            </w:pPr>
            <w:r/>
            <w:r>
              <w:rPr>
                <w:b w:val="0"/>
                <w:i w:val="0"/>
                <w:color w:val="1A1A1A"/>
                <w:sz w:val="17"/>
              </w:rPr>
              <w:t>ebenso; Akkreditierung Austria seit 24. Oktober 2025 Mitglied der Global ACI</w:t>
            </w:r>
          </w:p>
        </w:tc>
        <w:tc>
          <w:tcPr>
            <w:tcW w:type="dxa" w:w="2721"/>
          </w:tcPr>
          <w:p>
            <w:pPr>
              <w:spacing w:after="0" w:before="0"/>
            </w:pPr>
            <w:r/>
            <w:r>
              <w:rPr>
                <w:b w:val="0"/>
                <w:i w:val="0"/>
                <w:color w:val="1A1A1A"/>
                <w:sz w:val="17"/>
              </w:rPr>
              <w:t>ebenso</w:t>
            </w:r>
          </w:p>
        </w:tc>
      </w:tr>
      <w:tr>
        <w:trPr>
          <w:cantSplit w:val="true"/>
        </w:trPr>
        <w:tc>
          <w:tcPr>
            <w:tcW w:type="dxa" w:w="1474"/>
            <w:shd w:val="clear" w:color="auto" w:fill="F3EFE6"/>
          </w:tcPr>
          <w:p>
            <w:pPr>
              <w:spacing w:after="0" w:before="0"/>
            </w:pPr>
            <w:r/>
            <w:r>
              <w:rPr>
                <w:b w:val="0"/>
                <w:i w:val="0"/>
                <w:color w:val="1A1A1A"/>
                <w:sz w:val="17"/>
              </w:rPr>
              <w:t>Gästedaten im Audit</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Saisonarbeit im Rechtskataster</w:t>
            </w:r>
          </w:p>
        </w:tc>
        <w:tc>
          <w:tcPr>
            <w:tcW w:type="dxa" w:w="2721"/>
          </w:tcPr>
          <w:p>
            <w:pPr>
              <w:spacing w:after="0" w:before="0"/>
            </w:pPr>
            <w:r/>
            <w:r>
              <w:rPr>
                <w:b w:val="0"/>
                <w:i w:val="0"/>
                <w:color w:val="1A1A1A"/>
                <w:sz w:val="17"/>
              </w:rPr>
              <w:t>Arbeitszeitrecht des Bundes</w:t>
            </w:r>
          </w:p>
        </w:tc>
        <w:tc>
          <w:tcPr>
            <w:tcW w:type="dxa" w:w="2721"/>
          </w:tcPr>
          <w:p>
            <w:pPr>
              <w:spacing w:after="0" w:before="0"/>
            </w:pPr>
            <w:r/>
            <w:r>
              <w:rPr>
                <w:b w:val="0"/>
                <w:i w:val="0"/>
                <w:color w:val="1A1A1A"/>
                <w:sz w:val="17"/>
              </w:rPr>
              <w:t>Ruhezeit in Küche und Service bei geteilten Diensten (§ 12 Abs. 2a AZG)</w:t>
            </w:r>
          </w:p>
        </w:tc>
        <w:tc>
          <w:tcPr>
            <w:tcW w:type="dxa" w:w="2721"/>
          </w:tcPr>
          <w:p>
            <w:pPr>
              <w:spacing w:after="0" w:before="0"/>
            </w:pPr>
            <w:r/>
            <w:r>
              <w:rPr>
                <w:b w:val="0"/>
                <w:i w:val="0"/>
                <w:color w:val="1A1A1A"/>
                <w:sz w:val="17"/>
              </w:rPr>
              <w:t>Arbeitsgesetz mit Sonderbestimmungen für Hotels und Gastbetriebe</w:t>
            </w:r>
          </w:p>
        </w:tc>
      </w:tr>
      <w:tr>
        <w:trPr>
          <w:cantSplit w:val="true"/>
        </w:trPr>
        <w:tc>
          <w:tcPr>
            <w:tcW w:type="dxa" w:w="1474"/>
            <w:shd w:val="clear" w:color="auto" w:fill="F3EFE6"/>
          </w:tcPr>
          <w:p>
            <w:pPr>
              <w:spacing w:after="0" w:before="0"/>
            </w:pPr>
            <w:r/>
            <w:r>
              <w:rPr>
                <w:b w:val="0"/>
                <w:i w:val="0"/>
                <w:color w:val="1A1A1A"/>
                <w:sz w:val="17"/>
              </w:rPr>
              <w:t>Werbung mit dem Zertifikat</w:t>
            </w:r>
          </w:p>
        </w:tc>
        <w:tc>
          <w:tcPr>
            <w:tcW w:type="dxa" w:w="2721"/>
            <w:shd w:val="clear" w:color="auto" w:fill="F3EFE6"/>
          </w:tcPr>
          <w:p>
            <w:pPr>
              <w:spacing w:after="0" w:before="0"/>
            </w:pPr>
            <w:r/>
            <w:r>
              <w:rPr>
                <w:b w:val="0"/>
                <w:i w:val="0"/>
                <w:color w:val="1A1A1A"/>
                <w:sz w:val="17"/>
              </w:rPr>
              <w:t>UWG, Anhang Nr. 2a ab 27. September 2026, gegenüber Verbrauchern</w:t>
            </w:r>
          </w:p>
        </w:tc>
        <w:tc>
          <w:tcPr>
            <w:tcW w:type="dxa" w:w="2721"/>
            <w:shd w:val="clear" w:color="auto" w:fill="F3EFE6"/>
          </w:tcPr>
          <w:p>
            <w:pPr>
              <w:spacing w:after="0" w:before="0"/>
            </w:pPr>
            <w:r/>
            <w:r>
              <w:rPr>
                <w:b w:val="0"/>
                <w:i w:val="0"/>
                <w:color w:val="1A1A1A"/>
                <w:sz w:val="17"/>
              </w:rPr>
              <w:t>UWG, Anhang Z 2a ab 27. September 2026, gegenüber Verbrauchern</w:t>
            </w:r>
          </w:p>
        </w:tc>
        <w:tc>
          <w:tcPr>
            <w:tcW w:type="dxa" w:w="2721"/>
            <w:shd w:val="clear" w:color="auto" w:fill="F3EFE6"/>
          </w:tcPr>
          <w:p>
            <w:pPr>
              <w:spacing w:after="0" w:before="0"/>
            </w:pPr>
            <w:r/>
            <w:r>
              <w:rPr>
                <w:b w:val="0"/>
                <w:i w:val="0"/>
                <w:color w:val="1A1A1A"/>
                <w:sz w:val="17"/>
              </w:rPr>
              <w:t>Art. 3 Abs. 1 lit. x UWG für Klimaaussagen</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4.10.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4.10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4.10 — Das erste Überwachungsaudit vorbereiten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