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4.11</w:t>
      </w:r>
    </w:p>
    <w:p>
      <w:pPr>
        <w:pStyle w:val="Heading1"/>
      </w:pPr>
      <w:r>
        <w:t>Rezertifizierung und Übergang vorbereiten</w:t>
      </w:r>
    </w:p>
    <w:p>
      <w:pPr>
        <w:spacing w:after="0"/>
      </w:pPr>
      <w:r>
        <w:rPr>
          <w:b w:val="0"/>
          <w:i/>
          <w:color w:val="5A5A5A"/>
        </w:rPr>
        <w:t>Abschnitt 4.11 · Rezertifizierung und Übergang zur Ausgabe 2024</w:t>
      </w:r>
    </w:p>
    <w:p>
      <w:pPr>
        <w:spacing w:after="160"/>
      </w:pPr>
      <w:r>
        <w:rPr>
          <w:b w:val="0"/>
          <w:i w:val="0"/>
          <w:color w:val="5A5A5A"/>
          <w:sz w:val="18"/>
        </w:rPr>
        <w:t>Modellfall im Buch: Weimar</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die Zertifizierungsstelle in Ihrem Haus nicht nach dem heutigen Stand fragt, sondern nach den Jahren seit der letzten Zertifizierung: Welche Spur haben diese Jahre in Ihren Unterlagen hinterlassen? Und haben Sie Ihr System auf die Ausgabe 2024 umgestellt oder nur seine Nummern?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Der Übergang zur Ausgabe 2024 als Plan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Anforderung</w:t>
            </w:r>
          </w:p>
        </w:tc>
        <w:tc>
          <w:tcPr>
            <w:tcW w:type="dxa" w:w="3213"/>
            <w:shd w:val="clear" w:color="auto" w:fill="8C5A2B"/>
          </w:tcPr>
          <w:p>
            <w:pPr>
              <w:spacing w:after="0" w:before="0"/>
            </w:pPr>
            <w:r/>
            <w:r>
              <w:rPr>
                <w:b/>
                <w:i w:val="0"/>
                <w:color w:val="FFFFFF"/>
                <w:sz w:val="18"/>
              </w:rPr>
              <w:t>Was die Ausgabe 2012 dazu hatte</w:t>
            </w:r>
          </w:p>
        </w:tc>
        <w:tc>
          <w:tcPr>
            <w:tcW w:type="dxa" w:w="3213"/>
            <w:shd w:val="clear" w:color="auto" w:fill="8C5A2B"/>
          </w:tcPr>
          <w:p>
            <w:pPr>
              <w:spacing w:after="0" w:before="0"/>
            </w:pPr>
            <w:r/>
            <w:r>
              <w:rPr>
                <w:b/>
                <w:i w:val="0"/>
                <w:color w:val="FFFFFF"/>
                <w:sz w:val="18"/>
              </w:rPr>
              <w:t>Was das Haus in Weimar tun musste</w:t>
            </w:r>
          </w:p>
        </w:tc>
      </w:tr>
      <w:tr>
        <w:trPr>
          <w:cantSplit w:val="true"/>
        </w:trPr>
        <w:tc>
          <w:tcPr>
            <w:tcW w:type="dxa" w:w="3213"/>
          </w:tcPr>
          <w:p>
            <w:pPr>
              <w:spacing w:after="0" w:before="0"/>
            </w:pPr>
            <w:r/>
            <w:r>
              <w:rPr>
                <w:b w:val="0"/>
                <w:i w:val="0"/>
                <w:color w:val="1A1A1A"/>
                <w:sz w:val="18"/>
              </w:rPr>
              <w:t>Planung von Änderungen (6.3)</w:t>
            </w:r>
          </w:p>
        </w:tc>
        <w:tc>
          <w:tcPr>
            <w:tcW w:type="dxa" w:w="3213"/>
          </w:tcPr>
          <w:p>
            <w:pPr>
              <w:spacing w:after="0" w:before="0"/>
            </w:pPr>
            <w:r/>
            <w:r>
              <w:rPr>
                <w:b w:val="0"/>
                <w:i w:val="0"/>
                <w:color w:val="1A1A1A"/>
                <w:sz w:val="18"/>
              </w:rPr>
              <w:t>nichts, neu aus der harmonisierten Struktur</w:t>
            </w:r>
          </w:p>
        </w:tc>
        <w:tc>
          <w:tcPr>
            <w:tcW w:type="dxa" w:w="3213"/>
          </w:tcPr>
          <w:p>
            <w:pPr>
              <w:spacing w:after="0" w:before="0"/>
            </w:pPr>
            <w:r/>
            <w:r>
              <w:rPr>
                <w:b w:val="0"/>
                <w:i w:val="0"/>
                <w:color w:val="1A1A1A"/>
                <w:sz w:val="18"/>
              </w:rPr>
              <w:t>Plan für die Umstellung; Nachtreinigung und Software nachführen</w:t>
            </w:r>
          </w:p>
        </w:tc>
      </w:tr>
      <w:tr>
        <w:trPr>
          <w:cantSplit w:val="true"/>
        </w:trPr>
        <w:tc>
          <w:tcPr>
            <w:tcW w:type="dxa" w:w="3213"/>
            <w:shd w:val="clear" w:color="auto" w:fill="F3EFE6"/>
          </w:tcPr>
          <w:p>
            <w:pPr>
              <w:spacing w:after="0" w:before="0"/>
            </w:pPr>
            <w:r/>
            <w:r>
              <w:rPr>
                <w:b w:val="0"/>
                <w:i w:val="0"/>
                <w:color w:val="1A1A1A"/>
                <w:sz w:val="18"/>
              </w:rPr>
              <w:t>Grundsätze und Leitbild (4.5)</w:t>
            </w:r>
          </w:p>
        </w:tc>
        <w:tc>
          <w:tcPr>
            <w:tcW w:type="dxa" w:w="3213"/>
            <w:shd w:val="clear" w:color="auto" w:fill="F3EFE6"/>
          </w:tcPr>
          <w:p>
            <w:pPr>
              <w:spacing w:after="0" w:before="0"/>
            </w:pPr>
            <w:r/>
            <w:r>
              <w:rPr>
                <w:b w:val="0"/>
                <w:i w:val="0"/>
                <w:color w:val="1A1A1A"/>
                <w:sz w:val="18"/>
              </w:rPr>
              <w:t>Grundsätze, Erklärung zu Zweck und Werten</w:t>
            </w:r>
          </w:p>
        </w:tc>
        <w:tc>
          <w:tcPr>
            <w:tcW w:type="dxa" w:w="3213"/>
            <w:shd w:val="clear" w:color="auto" w:fill="F3EFE6"/>
          </w:tcPr>
          <w:p>
            <w:pPr>
              <w:spacing w:after="0" w:before="0"/>
            </w:pPr>
            <w:r/>
            <w:r>
              <w:rPr>
                <w:b w:val="0"/>
                <w:i w:val="0"/>
                <w:color w:val="1A1A1A"/>
                <w:sz w:val="18"/>
              </w:rPr>
              <w:t>Leitbild als Rahmen für Politik, Ziele, Pläne; von der Direktorin verantwortet</w:t>
            </w:r>
          </w:p>
        </w:tc>
      </w:tr>
      <w:tr>
        <w:trPr>
          <w:cantSplit w:val="true"/>
        </w:trPr>
        <w:tc>
          <w:tcPr>
            <w:tcW w:type="dxa" w:w="3213"/>
          </w:tcPr>
          <w:p>
            <w:pPr>
              <w:spacing w:after="0" w:before="0"/>
            </w:pPr>
            <w:r/>
            <w:r>
              <w:rPr>
                <w:b w:val="0"/>
                <w:i w:val="0"/>
                <w:color w:val="1A1A1A"/>
                <w:sz w:val="18"/>
              </w:rPr>
              <w:t>Änderungen im Betrieb (8.2)</w:t>
            </w:r>
          </w:p>
        </w:tc>
        <w:tc>
          <w:tcPr>
            <w:tcW w:type="dxa" w:w="3213"/>
          </w:tcPr>
          <w:p>
            <w:pPr>
              <w:spacing w:after="0" w:before="0"/>
            </w:pPr>
            <w:r/>
            <w:r>
              <w:rPr>
                <w:b w:val="0"/>
                <w:i w:val="0"/>
                <w:color w:val="1A1A1A"/>
                <w:sz w:val="18"/>
              </w:rPr>
              <w:t>Umgang mit geänderten Tätigkeiten</w:t>
            </w:r>
          </w:p>
        </w:tc>
        <w:tc>
          <w:tcPr>
            <w:tcW w:type="dxa" w:w="3213"/>
          </w:tcPr>
          <w:p>
            <w:pPr>
              <w:spacing w:after="0" w:before="0"/>
            </w:pPr>
            <w:r/>
            <w:r>
              <w:rPr>
                <w:b w:val="0"/>
                <w:i w:val="0"/>
                <w:color w:val="1A1A1A"/>
                <w:sz w:val="18"/>
              </w:rPr>
              <w:t>Entscheidungen wie die Backwaren am Leitbild messen; Lehren an die Managementbewertung</w:t>
            </w:r>
          </w:p>
        </w:tc>
      </w:tr>
      <w:tr>
        <w:trPr>
          <w:cantSplit w:val="true"/>
        </w:trPr>
        <w:tc>
          <w:tcPr>
            <w:tcW w:type="dxa" w:w="3213"/>
            <w:shd w:val="clear" w:color="auto" w:fill="F3EFE6"/>
          </w:tcPr>
          <w:p>
            <w:pPr>
              <w:spacing w:after="0" w:before="0"/>
            </w:pPr>
            <w:r/>
            <w:r>
              <w:rPr>
                <w:b w:val="0"/>
                <w:i w:val="0"/>
                <w:color w:val="1A1A1A"/>
                <w:sz w:val="18"/>
              </w:rPr>
              <w:t>Bewertung gegen die Leitprinzipien (9.3.4)</w:t>
            </w:r>
          </w:p>
        </w:tc>
        <w:tc>
          <w:tcPr>
            <w:tcW w:type="dxa" w:w="3213"/>
            <w:shd w:val="clear" w:color="auto" w:fill="F3EFE6"/>
          </w:tcPr>
          <w:p>
            <w:pPr>
              <w:spacing w:after="0" w:before="0"/>
            </w:pPr>
            <w:r/>
            <w:r>
              <w:rPr>
                <w:b w:val="0"/>
                <w:i w:val="0"/>
                <w:color w:val="1A1A1A"/>
                <w:sz w:val="18"/>
              </w:rPr>
              <w:t>Leistung gegenüber den Leitprinzipien in 9.1</w:t>
            </w:r>
          </w:p>
        </w:tc>
        <w:tc>
          <w:tcPr>
            <w:tcW w:type="dxa" w:w="3213"/>
            <w:shd w:val="clear" w:color="auto" w:fill="F3EFE6"/>
          </w:tcPr>
          <w:p>
            <w:pPr>
              <w:spacing w:after="0" w:before="0"/>
            </w:pPr>
            <w:r/>
            <w:r>
              <w:rPr>
                <w:b w:val="0"/>
                <w:i w:val="0"/>
                <w:color w:val="1A1A1A"/>
                <w:sz w:val="18"/>
              </w:rPr>
              <w:t>Ansatz festlegen; Bewertung in der Managementbewertung</w:t>
            </w:r>
          </w:p>
        </w:tc>
      </w:tr>
      <w:tr>
        <w:trPr>
          <w:cantSplit w:val="true"/>
        </w:trPr>
        <w:tc>
          <w:tcPr>
            <w:tcW w:type="dxa" w:w="3213"/>
          </w:tcPr>
          <w:p>
            <w:pPr>
              <w:spacing w:after="0" w:before="0"/>
            </w:pPr>
            <w:r/>
            <w:r>
              <w:rPr>
                <w:b w:val="0"/>
                <w:i w:val="0"/>
                <w:color w:val="1A1A1A"/>
                <w:sz w:val="18"/>
              </w:rPr>
              <w:t>Klimawandel (4.1)</w:t>
            </w:r>
          </w:p>
        </w:tc>
        <w:tc>
          <w:tcPr>
            <w:tcW w:type="dxa" w:w="3213"/>
          </w:tcPr>
          <w:p>
            <w:pPr>
              <w:spacing w:after="0" w:before="0"/>
            </w:pPr>
            <w:r/>
            <w:r>
              <w:rPr>
                <w:b w:val="0"/>
                <w:i w:val="0"/>
                <w:color w:val="1A1A1A"/>
                <w:sz w:val="18"/>
              </w:rPr>
              <w:t>keine eigene Frage</w:t>
            </w:r>
          </w:p>
        </w:tc>
        <w:tc>
          <w:tcPr>
            <w:tcW w:type="dxa" w:w="3213"/>
          </w:tcPr>
          <w:p>
            <w:pPr>
              <w:spacing w:after="0" w:before="0"/>
            </w:pPr>
            <w:r/>
            <w:r>
              <w:rPr>
                <w:b w:val="0"/>
                <w:i w:val="0"/>
                <w:color w:val="1A1A1A"/>
                <w:sz w:val="18"/>
              </w:rPr>
              <w:t>bestimmen, ob er ein relevantes Thema ist</w:t>
            </w:r>
          </w:p>
        </w:tc>
      </w:tr>
      <w:tr>
        <w:trPr>
          <w:cantSplit w:val="true"/>
        </w:trPr>
        <w:tc>
          <w:tcPr>
            <w:tcW w:type="dxa" w:w="3213"/>
            <w:shd w:val="clear" w:color="auto" w:fill="F3EFE6"/>
          </w:tcPr>
          <w:p>
            <w:pPr>
              <w:spacing w:after="0" w:before="0"/>
            </w:pPr>
            <w:r/>
            <w:r>
              <w:rPr>
                <w:b w:val="0"/>
                <w:i w:val="0"/>
                <w:color w:val="1A1A1A"/>
                <w:sz w:val="18"/>
              </w:rPr>
              <w:t>Politik (5.2)</w:t>
            </w:r>
          </w:p>
        </w:tc>
        <w:tc>
          <w:tcPr>
            <w:tcW w:type="dxa" w:w="3213"/>
            <w:shd w:val="clear" w:color="auto" w:fill="F3EFE6"/>
          </w:tcPr>
          <w:p>
            <w:pPr>
              <w:spacing w:after="0" w:before="0"/>
            </w:pPr>
            <w:r/>
            <w:r>
              <w:rPr>
                <w:b w:val="0"/>
                <w:i w:val="0"/>
                <w:color w:val="1A1A1A"/>
                <w:sz w:val="18"/>
              </w:rPr>
              <w:t>Politik mit Verpflichtungen</w:t>
            </w:r>
          </w:p>
        </w:tc>
        <w:tc>
          <w:tcPr>
            <w:tcW w:type="dxa" w:w="3213"/>
            <w:shd w:val="clear" w:color="auto" w:fill="F3EFE6"/>
          </w:tcPr>
          <w:p>
            <w:pPr>
              <w:spacing w:after="0" w:before="0"/>
            </w:pPr>
            <w:r/>
            <w:r>
              <w:rPr>
                <w:b w:val="0"/>
                <w:i w:val="0"/>
                <w:color w:val="1A1A1A"/>
                <w:sz w:val="18"/>
              </w:rPr>
              <w:t>Verweis auf das Leitbild, datiert, von der Leitung unterzeichnet</w:t>
            </w:r>
          </w:p>
        </w:tc>
      </w:tr>
    </w:tbl>
    <w:p>
      <w:pPr>
        <w:spacing w:after="40"/>
      </w:pPr>
    </w:p>
    <w:p>
      <w:pPr>
        <w:pStyle w:val="Heading2"/>
      </w:pPr>
      <w:r>
        <w:t>Praktische Anwendung: Rezertifizierung und Übergang in sieben Schritten vorbereiten</w:t>
      </w:r>
    </w:p>
    <w:p>
      <w:pPr>
        <w:tabs>
          <w:tab w:pos="340" w:val="left"/>
        </w:tabs>
        <w:ind w:left="340" w:hanging="340"/>
      </w:pPr>
      <w:r>
        <w:rPr>
          <w:b/>
          <w:color w:val="8C5A2B"/>
        </w:rPr>
        <w:t>1.</w:t>
        <w:tab/>
      </w:r>
      <w:r>
        <w:rPr>
          <w:b/>
        </w:rPr>
        <w:t>Den Termin früh legen.</w:t>
      </w:r>
      <w:r>
        <w:t xml:space="preserve"> Lassen Sie zwischen dem letzten Audittag und dem Ablaufdatum des Zertifikats mindestens drei Monate. Was die Stelle verifizieren muss, braucht Zeit.</w:t>
      </w:r>
    </w:p>
    <w:p>
      <w:pPr>
        <w:tabs>
          <w:tab w:pos="340" w:val="left"/>
        </w:tabs>
        <w:ind w:left="340" w:hanging="340"/>
      </w:pPr>
      <w:r>
        <w:rPr>
          <w:b/>
          <w:color w:val="8C5A2B"/>
        </w:rPr>
        <w:t>2.</w:t>
        <w:tab/>
      </w:r>
      <w:r>
        <w:rPr>
          <w:b/>
        </w:rPr>
        <w:t>Die Berichte des Zyklus nebeneinander legen.</w:t>
      </w:r>
      <w:r>
        <w:t xml:space="preserve"> Interne Audits, Managementbewertungen, Überwachungen: Was hat sich wiederholt, was wurde nie geprüft, welche Ziele sind seit Jahren dieselben?</w:t>
      </w:r>
    </w:p>
    <w:p>
      <w:pPr>
        <w:tabs>
          <w:tab w:pos="340" w:val="left"/>
        </w:tabs>
        <w:ind w:left="340" w:hanging="340"/>
      </w:pPr>
      <w:r>
        <w:rPr>
          <w:b/>
          <w:color w:val="8C5A2B"/>
        </w:rPr>
        <w:t>3.</w:t>
        <w:tab/>
      </w:r>
      <w:r>
        <w:rPr>
          <w:b/>
        </w:rPr>
        <w:t>Einen Übergangsplan schreiben.</w:t>
      </w:r>
      <w:r>
        <w:t xml:space="preserve"> Für jede neue und neu gefasste Anforderung eine Zeile: was es bisher gab, was fehlt, wer es schließt, bis wann. Die Nummernliste ist ein Anhang dieses Plans, nicht der Plan.</w:t>
      </w:r>
    </w:p>
    <w:p>
      <w:pPr>
        <w:tabs>
          <w:tab w:pos="340" w:val="left"/>
        </w:tabs>
        <w:ind w:left="340" w:hanging="340"/>
      </w:pPr>
      <w:r>
        <w:rPr>
          <w:b/>
          <w:color w:val="8C5A2B"/>
        </w:rPr>
        <w:t>4.</w:t>
        <w:tab/>
      </w:r>
      <w:r>
        <w:rPr>
          <w:b/>
        </w:rPr>
        <w:t>Das Leitbild an einer Entscheidung prüfen.</w:t>
      </w:r>
      <w:r>
        <w:t xml:space="preserve"> Nehmen Sie eine echte Entscheidung des letzten Jahres und legen Sie sie neben das Leitbild. Hält der Rahmen, oder hat ihn niemand angesehen?</w:t>
      </w:r>
    </w:p>
    <w:p>
      <w:pPr>
        <w:tabs>
          <w:tab w:pos="340" w:val="left"/>
        </w:tabs>
        <w:ind w:left="340" w:hanging="340"/>
      </w:pPr>
      <w:r>
        <w:rPr>
          <w:b/>
          <w:color w:val="8C5A2B"/>
        </w:rPr>
        <w:t>5.</w:t>
        <w:tab/>
      </w:r>
      <w:r>
        <w:rPr>
          <w:b/>
        </w:rPr>
        <w:t>Die Änderungen der Jahre nachführen.</w:t>
      </w:r>
      <w:r>
        <w:t xml:space="preserve"> Fremdfirmen, Software, Umbauten, neue Formate: Was hat das System verändert, ohne dass es dort steht?</w:t>
      </w:r>
    </w:p>
    <w:p>
      <w:pPr>
        <w:tabs>
          <w:tab w:pos="340" w:val="left"/>
        </w:tabs>
        <w:ind w:left="340" w:hanging="340"/>
      </w:pPr>
      <w:r>
        <w:rPr>
          <w:b/>
          <w:color w:val="8C5A2B"/>
        </w:rPr>
        <w:t>6.</w:t>
        <w:tab/>
      </w:r>
      <w:r>
        <w:rPr>
          <w:b/>
        </w:rPr>
        <w:t>Einen Ansatz für 9.3.4 festlegen.</w:t>
      </w:r>
      <w:r>
        <w:t xml:space="preserve"> Wer bewertet, woran, wie oft, und wo steht das Ergebnis? Eine Reifegradmatrix kann helfen, ein Satz genügt nicht.</w:t>
      </w:r>
    </w:p>
    <w:p>
      <w:pPr>
        <w:tabs>
          <w:tab w:pos="340" w:val="left"/>
        </w:tabs>
        <w:ind w:left="340" w:hanging="340"/>
      </w:pPr>
      <w:r>
        <w:rPr>
          <w:b/>
          <w:color w:val="8C5A2B"/>
        </w:rPr>
        <w:t>7.</w:t>
        <w:tab/>
      </w:r>
      <w:r>
        <w:rPr>
          <w:b/>
        </w:rPr>
        <w:t>Die Aussagen nach außen auflisten.</w:t>
      </w:r>
      <w:r>
        <w:t xml:space="preserve"> Wo erwähnt das Haus sein Zertifikat? Die Liste erlaubt, jede Stelle an einem Tag zu ändern.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Termin früh 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Berichte des Zyklus nebeneinander 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Einen Übergangsplan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Das Leitbild an einer Entscheidung prüfen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Änderungen der Jahre nachführen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Einen Ansatz für 9.3.4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Aussagen nach außen auflisten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Liegen zwischen dem geplanten Audit und dem Ablauf des Zertifikats mindestens drei Monate?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die Berichte der internen Audits und der Überwachungen des Zyklus nebeneinander gelesen?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einen Übergangsplan, der Inhalte nennt und nicht nur Nummern?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eine Entscheidung des letzten Jahres an unserem Leitbild gemessen?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die Politik von der heutigen Leitung datiert und unterzeichnet?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einen festgelegten Ansatz für die Bewertung gegen die Leitprinzipien?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bestimmt, ob der Klimawandel für uns ein relevantes Thema ist?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Wissen wir, an welchen Stellen unser Zertifikat nach außen erwähnt wird?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Nur die Nummern umstellen.</w:t>
      </w:r>
      <w:r>
        <w:t xml:space="preserve"> Die Ausgabe 2024 verlangt Inhalte, die keine Querverweisliste liefert.</w:t>
      </w:r>
    </w:p>
    <w:p>
      <w:pPr>
        <w:tabs>
          <w:tab w:pos="340" w:val="left"/>
        </w:tabs>
        <w:ind w:left="340" w:hanging="340"/>
      </w:pPr>
      <w:r>
        <w:rPr>
          <w:color w:val="8C5A2B"/>
        </w:rPr>
        <w:t>–</w:t>
        <w:tab/>
      </w:r>
      <w:r>
        <w:rPr>
          <w:b/>
        </w:rPr>
        <w:t>Die Überschrift ändern und das Leitbild meinen.</w:t>
      </w:r>
      <w:r>
        <w:t xml:space="preserve"> Ein Rahmen zeigt sich an einer Entscheidung, die an ihm gemessen wurde.</w:t>
      </w:r>
    </w:p>
    <w:p>
      <w:pPr>
        <w:tabs>
          <w:tab w:pos="340" w:val="left"/>
        </w:tabs>
        <w:ind w:left="340" w:hanging="340"/>
      </w:pPr>
      <w:r>
        <w:rPr>
          <w:color w:val="8C5A2B"/>
        </w:rPr>
        <w:t>–</w:t>
        <w:tab/>
      </w:r>
      <w:r>
        <w:rPr>
          <w:b/>
        </w:rPr>
        <w:t>Den Satz verschieben statt den Ansatz festlegen.</w:t>
      </w:r>
      <w:r>
        <w:t xml:space="preserve"> Die Bewertung gegen die Leitprinzipien braucht ein Verfahren, keine neue Stelle im Protokoll.</w:t>
      </w:r>
    </w:p>
    <w:p>
      <w:pPr>
        <w:tabs>
          <w:tab w:pos="340" w:val="left"/>
        </w:tabs>
        <w:ind w:left="340" w:hanging="340"/>
      </w:pPr>
      <w:r>
        <w:rPr>
          <w:color w:val="8C5A2B"/>
        </w:rPr>
        <w:t>–</w:t>
        <w:tab/>
      </w:r>
      <w:r>
        <w:rPr>
          <w:b/>
        </w:rPr>
        <w:t>Überwachungsberichte einzeln lesen.</w:t>
      </w:r>
      <w:r>
        <w:t xml:space="preserve"> Erst nebeneinander zeigen sie, welche Maßnahme nicht gewirkt hat.</w:t>
      </w:r>
    </w:p>
    <w:p>
      <w:pPr>
        <w:tabs>
          <w:tab w:pos="340" w:val="left"/>
        </w:tabs>
        <w:ind w:left="340" w:hanging="340"/>
      </w:pPr>
      <w:r>
        <w:rPr>
          <w:color w:val="8C5A2B"/>
        </w:rPr>
        <w:t>–</w:t>
        <w:tab/>
      </w:r>
      <w:r>
        <w:rPr>
          <w:b/>
        </w:rPr>
        <w:t>Die Umstellung bis zuletzt aufheben.</w:t>
      </w:r>
      <w:r>
        <w:t xml:space="preserve"> Sieben Wochen reichen nicht, um eine schwere Nichtkonformität vor dem Ablauf verifizieren zu lassen.</w:t>
      </w:r>
    </w:p>
    <w:p>
      <w:pPr>
        <w:tabs>
          <w:tab w:pos="340" w:val="left"/>
        </w:tabs>
        <w:ind w:left="340" w:hanging="340"/>
      </w:pPr>
      <w:r>
        <w:rPr>
          <w:color w:val="8C5A2B"/>
        </w:rPr>
        <w:t>–</w:t>
        <w:tab/>
      </w:r>
      <w:r>
        <w:rPr>
          <w:b/>
        </w:rPr>
        <w:t>Auf eine Verlängerung hoffen.</w:t>
      </w:r>
      <w:r>
        <w:t xml:space="preserve"> Die Stelle darf ein Zertifikat ohne abgeschlossenes Audit nicht verlängern.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Rezertifizierung mit Umstellung: 3 Auditortage zu € 1.300</w:t>
            </w:r>
          </w:p>
        </w:tc>
        <w:tc>
          <w:tcPr>
            <w:tcW w:type="dxa" w:w="1474"/>
          </w:tcPr>
          <w:p>
            <w:pPr>
              <w:spacing w:after="0" w:before="0"/>
            </w:pPr>
            <w:r/>
            <w:r>
              <w:rPr>
                <w:b w:val="0"/>
                <w:i w:val="0"/>
                <w:color w:val="1A1A1A"/>
                <w:sz w:val="18"/>
              </w:rPr>
              <w:t>€ 3.900</w:t>
            </w:r>
          </w:p>
        </w:tc>
        <w:tc>
          <w:tcPr>
            <w:tcW w:type="dxa" w:w="3175"/>
          </w:tcPr>
          <w:p>
            <w:pPr>
              <w:spacing w:after="0" w:before="0"/>
            </w:pPr>
            <w:r/>
            <w:r>
              <w:rPr>
                <w:b w:val="0"/>
                <w:i w:val="0"/>
                <w:color w:val="1A1A1A"/>
                <w:sz w:val="18"/>
              </w:rPr>
              <w:t>Annahme; dazu Reisekosten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Nummernliste des Veranstaltungsleiters</w:t>
            </w:r>
          </w:p>
        </w:tc>
        <w:tc>
          <w:tcPr>
            <w:tcW w:type="dxa" w:w="1474"/>
            <w:shd w:val="clear" w:color="auto" w:fill="F3EFE6"/>
          </w:tcPr>
          <w:p>
            <w:pPr>
              <w:spacing w:after="0" w:before="0"/>
            </w:pPr>
            <w:r/>
            <w:r>
              <w:rPr>
                <w:b w:val="0"/>
                <w:i w:val="0"/>
                <w:color w:val="1A1A1A"/>
                <w:sz w:val="18"/>
              </w:rPr>
              <w:t>24 Stunden</w:t>
            </w:r>
          </w:p>
        </w:tc>
        <w:tc>
          <w:tcPr>
            <w:tcW w:type="dxa" w:w="3175"/>
            <w:shd w:val="clear" w:color="auto" w:fill="F3EFE6"/>
          </w:tcPr>
          <w:p>
            <w:pPr>
              <w:spacing w:after="0" w:before="0"/>
            </w:pPr>
            <w:r/>
            <w:r>
              <w:rPr>
                <w:b w:val="0"/>
                <w:i w:val="0"/>
                <w:color w:val="1A1A1A"/>
                <w:sz w:val="18"/>
              </w:rPr>
              <w:t>bereits geleistet; als Anhang weiter verwendbar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Übergangsplan, Leitbild, Ansatz für 9.3.4</w:t>
            </w:r>
          </w:p>
        </w:tc>
        <w:tc>
          <w:tcPr>
            <w:tcW w:type="dxa" w:w="1474"/>
          </w:tcPr>
          <w:p>
            <w:pPr>
              <w:spacing w:after="0" w:before="0"/>
            </w:pPr>
            <w:r/>
            <w:r>
              <w:rPr>
                <w:b w:val="0"/>
                <w:i w:val="0"/>
                <w:color w:val="1A1A1A"/>
                <w:sz w:val="18"/>
              </w:rPr>
              <w:t>46 Stunden</w:t>
            </w:r>
          </w:p>
        </w:tc>
        <w:tc>
          <w:tcPr>
            <w:tcW w:type="dxa" w:w="3175"/>
          </w:tcPr>
          <w:p>
            <w:pPr>
              <w:spacing w:after="0" w:before="0"/>
            </w:pPr>
            <w:r/>
            <w:r>
              <w:rPr>
                <w:b w:val="0"/>
                <w:i w:val="0"/>
                <w:color w:val="1A1A1A"/>
                <w:sz w:val="18"/>
              </w:rPr>
              <w:t>Direktorin und Veranstaltungsleiter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Managementbewertung mit Bewertung gegen die Leitprinzipien</w:t>
            </w:r>
          </w:p>
        </w:tc>
        <w:tc>
          <w:tcPr>
            <w:tcW w:type="dxa" w:w="1474"/>
            <w:shd w:val="clear" w:color="auto" w:fill="F3EFE6"/>
          </w:tcPr>
          <w:p>
            <w:pPr>
              <w:spacing w:after="0" w:before="0"/>
            </w:pPr>
            <w:r/>
            <w:r>
              <w:rPr>
                <w:b w:val="0"/>
                <w:i w:val="0"/>
                <w:color w:val="1A1A1A"/>
                <w:sz w:val="18"/>
              </w:rPr>
              <w:t>8 Stunden</w:t>
            </w:r>
          </w:p>
        </w:tc>
        <w:tc>
          <w:tcPr>
            <w:tcW w:type="dxa" w:w="3175"/>
            <w:shd w:val="clear" w:color="auto" w:fill="F3EFE6"/>
          </w:tcPr>
          <w:p>
            <w:pPr>
              <w:spacing w:after="0" w:before="0"/>
            </w:pPr>
            <w:r/>
            <w:r>
              <w:rPr>
                <w:b w:val="0"/>
                <w:i w:val="0"/>
                <w:color w:val="1A1A1A"/>
                <w:sz w:val="18"/>
              </w:rPr>
              <w:t>Direktorin, Veranstaltungsleiter, Küche, Einkauf</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Verifizierung vor Ort vor der Entscheidung: 0,5 Auditortage</w:t>
            </w:r>
          </w:p>
        </w:tc>
        <w:tc>
          <w:tcPr>
            <w:tcW w:type="dxa" w:w="1474"/>
          </w:tcPr>
          <w:p>
            <w:pPr>
              <w:spacing w:after="0" w:before="0"/>
            </w:pPr>
            <w:r/>
            <w:r>
              <w:rPr>
                <w:b w:val="0"/>
                <w:i w:val="0"/>
                <w:color w:val="1A1A1A"/>
                <w:sz w:val="18"/>
              </w:rPr>
              <w:t>€ 650</w:t>
            </w:r>
          </w:p>
        </w:tc>
        <w:tc>
          <w:tcPr>
            <w:tcW w:type="dxa" w:w="3175"/>
          </w:tcPr>
          <w:p>
            <w:pPr>
              <w:spacing w:after="0" w:before="0"/>
            </w:pPr>
            <w:r/>
            <w:r>
              <w:rPr>
                <w:b w:val="0"/>
                <w:i w:val="0"/>
                <w:color w:val="1A1A1A"/>
                <w:sz w:val="18"/>
              </w:rPr>
              <w:t>Annahme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Umsatz mit Kunden, die ein gültiges Zertifikat verlangen</w:t>
            </w:r>
          </w:p>
        </w:tc>
        <w:tc>
          <w:tcPr>
            <w:tcW w:type="dxa" w:w="1474"/>
            <w:shd w:val="clear" w:color="auto" w:fill="F3EFE6"/>
          </w:tcPr>
          <w:p>
            <w:pPr>
              <w:spacing w:after="0" w:before="0"/>
            </w:pPr>
            <w:r/>
            <w:r>
              <w:rPr>
                <w:b w:val="0"/>
                <w:i w:val="0"/>
                <w:color w:val="1A1A1A"/>
                <w:sz w:val="18"/>
              </w:rPr>
              <w:t>€ 280.000</w:t>
            </w:r>
          </w:p>
        </w:tc>
        <w:tc>
          <w:tcPr>
            <w:tcW w:type="dxa" w:w="3175"/>
            <w:shd w:val="clear" w:color="auto" w:fill="F3EFE6"/>
          </w:tcPr>
          <w:p>
            <w:pPr>
              <w:spacing w:after="0" w:before="0"/>
            </w:pPr>
            <w:r/>
            <w:r>
              <w:rPr>
                <w:b w:val="0"/>
                <w:i w:val="0"/>
                <w:color w:val="1A1A1A"/>
                <w:sz w:val="18"/>
              </w:rPr>
              <w:t>jährlich; Annahme für Weimar</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Stunden, Honorare und Umsatz nebeneinander und verrechnet sie nicht. Der Umsatz von € 280.000 ist kein Gewinn, und er ist nicht verloren, wenn ein Zertifikat einige Wochen ruht. Er zeigt nur, warum die sieben Wochen vor dem Ablauf nicht mit einer Liste von Nummern gefüllt werden sollten.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Rezertifizierungsaudit vor Ablauf; ohne Abschluss oder verifizierte schwere Nichtkonformitäten keine Verlängerung (ISO/IEC 17021-1, Pflicht der Stelle)</w:t>
            </w:r>
          </w:p>
        </w:tc>
        <w:tc>
          <w:tcPr>
            <w:tcW w:type="dxa" w:w="3175"/>
          </w:tcPr>
          <w:p>
            <w:pPr>
              <w:spacing w:after="0" w:before="0"/>
            </w:pPr>
            <w:r/>
            <w:r>
              <w:rPr>
                <w:b w:val="0"/>
                <w:i w:val="0"/>
                <w:color w:val="1A1A1A"/>
                <w:sz w:val="18"/>
              </w:rPr>
              <w:t>Auditplan mit Abstand zum Ablaufdatum</w:t>
            </w:r>
          </w:p>
        </w:tc>
        <w:tc>
          <w:tcPr>
            <w:tcW w:type="dxa" w:w="3175"/>
          </w:tcPr>
          <w:p>
            <w:pPr>
              <w:spacing w:after="0" w:before="0"/>
            </w:pPr>
            <w:r/>
            <w:r>
              <w:rPr>
                <w:b w:val="0"/>
                <w:i w:val="0"/>
                <w:color w:val="1A1A1A"/>
                <w:sz w:val="18"/>
              </w:rPr>
              <w:t>Methode: drei Monate Abstand</w:t>
            </w:r>
          </w:p>
        </w:tc>
      </w:tr>
      <w:tr>
        <w:trPr>
          <w:cantSplit w:val="true"/>
        </w:trPr>
        <w:tc>
          <w:tcPr>
            <w:tcW w:type="dxa" w:w="3288"/>
            <w:shd w:val="clear" w:color="auto" w:fill="F3EFE6"/>
          </w:tcPr>
          <w:p>
            <w:pPr>
              <w:spacing w:after="0" w:before="0"/>
            </w:pPr>
            <w:r/>
            <w:r>
              <w:rPr>
                <w:b w:val="0"/>
                <w:i w:val="0"/>
                <w:color w:val="1A1A1A"/>
                <w:sz w:val="18"/>
              </w:rPr>
              <w:t>Änderungen am System geplant (6.3)</w:t>
            </w:r>
          </w:p>
        </w:tc>
        <w:tc>
          <w:tcPr>
            <w:tcW w:type="dxa" w:w="3175"/>
            <w:shd w:val="clear" w:color="auto" w:fill="F3EFE6"/>
          </w:tcPr>
          <w:p>
            <w:pPr>
              <w:spacing w:after="0" w:before="0"/>
            </w:pPr>
            <w:r/>
            <w:r>
              <w:rPr>
                <w:b w:val="0"/>
                <w:i w:val="0"/>
                <w:color w:val="1A1A1A"/>
                <w:sz w:val="18"/>
              </w:rPr>
              <w:t>Übergangsplan mit Lücken, Verantwortlichen, Terminen</w:t>
            </w:r>
          </w:p>
        </w:tc>
        <w:tc>
          <w:tcPr>
            <w:tcW w:type="dxa" w:w="3175"/>
            <w:shd w:val="clear" w:color="auto" w:fill="F3EFE6"/>
          </w:tcPr>
          <w:p>
            <w:pPr>
              <w:spacing w:after="0" w:before="0"/>
            </w:pPr>
            <w:r/>
            <w:r>
              <w:rPr>
                <w:b w:val="0"/>
                <w:i w:val="0"/>
                <w:color w:val="1A1A1A"/>
                <w:sz w:val="18"/>
              </w:rPr>
              <w:t>Methode: Plan auf zwei Seiten</w:t>
            </w:r>
          </w:p>
        </w:tc>
      </w:tr>
      <w:tr>
        <w:trPr>
          <w:cantSplit w:val="true"/>
        </w:trPr>
        <w:tc>
          <w:tcPr>
            <w:tcW w:type="dxa" w:w="3288"/>
          </w:tcPr>
          <w:p>
            <w:pPr>
              <w:spacing w:after="0" w:before="0"/>
            </w:pPr>
            <w:r/>
            <w:r>
              <w:rPr>
                <w:b w:val="0"/>
                <w:i w:val="0"/>
                <w:color w:val="1A1A1A"/>
                <w:sz w:val="18"/>
              </w:rPr>
              <w:t>Leitbild als Rahmen (4.5); Politik mit Verweis, datiert, unterzeichnet (5.2)</w:t>
            </w:r>
          </w:p>
        </w:tc>
        <w:tc>
          <w:tcPr>
            <w:tcW w:type="dxa" w:w="3175"/>
          </w:tcPr>
          <w:p>
            <w:pPr>
              <w:spacing w:after="0" w:before="0"/>
            </w:pPr>
            <w:r/>
            <w:r>
              <w:rPr>
                <w:b w:val="0"/>
                <w:i w:val="0"/>
                <w:color w:val="1A1A1A"/>
                <w:sz w:val="18"/>
              </w:rPr>
              <w:t>Leitbild, eine Entscheidung daran gemessen; Politik mit Unterschrift der Direktorin</w:t>
            </w:r>
          </w:p>
        </w:tc>
        <w:tc>
          <w:tcPr>
            <w:tcW w:type="dxa" w:w="3175"/>
          </w:tcPr>
          <w:p>
            <w:pPr>
              <w:spacing w:after="0" w:before="0"/>
            </w:pPr>
            <w:r/>
            <w:r>
              <w:rPr>
                <w:b w:val="0"/>
                <w:i w:val="0"/>
                <w:color w:val="1A1A1A"/>
                <w:sz w:val="18"/>
              </w:rPr>
              <w:t>A.6: Mindestgrundsätze; A.8: Hinweise zur Politik</w:t>
            </w:r>
          </w:p>
        </w:tc>
      </w:tr>
      <w:tr>
        <w:trPr>
          <w:cantSplit w:val="true"/>
        </w:trPr>
        <w:tc>
          <w:tcPr>
            <w:tcW w:type="dxa" w:w="3288"/>
            <w:shd w:val="clear" w:color="auto" w:fill="F3EFE6"/>
          </w:tcPr>
          <w:p>
            <w:pPr>
              <w:spacing w:after="0" w:before="0"/>
            </w:pPr>
            <w:r/>
            <w:r>
              <w:rPr>
                <w:b w:val="0"/>
                <w:i w:val="0"/>
                <w:color w:val="1A1A1A"/>
                <w:sz w:val="18"/>
              </w:rPr>
              <w:t>Bewertung gegen Zweck, Werte und Leitprinzipien (9.3.4)</w:t>
            </w:r>
          </w:p>
        </w:tc>
        <w:tc>
          <w:tcPr>
            <w:tcW w:type="dxa" w:w="3175"/>
            <w:shd w:val="clear" w:color="auto" w:fill="F3EFE6"/>
          </w:tcPr>
          <w:p>
            <w:pPr>
              <w:spacing w:after="0" w:before="0"/>
            </w:pPr>
            <w:r/>
            <w:r>
              <w:rPr>
                <w:b w:val="0"/>
                <w:i w:val="0"/>
                <w:color w:val="1A1A1A"/>
                <w:sz w:val="18"/>
              </w:rPr>
              <w:t>Teil der Managementbewertung mit festgelegtem Ansatz</w:t>
            </w:r>
          </w:p>
        </w:tc>
        <w:tc>
          <w:tcPr>
            <w:tcW w:type="dxa" w:w="3175"/>
            <w:shd w:val="clear" w:color="auto" w:fill="F3EFE6"/>
          </w:tcPr>
          <w:p>
            <w:pPr>
              <w:spacing w:after="0" w:before="0"/>
            </w:pPr>
            <w:r/>
            <w:r>
              <w:rPr>
                <w:b w:val="0"/>
                <w:i w:val="0"/>
                <w:color w:val="1A1A1A"/>
                <w:sz w:val="18"/>
              </w:rPr>
              <w:t>Reifegradmatrix (Tabelle A.5)</w:t>
            </w:r>
          </w:p>
        </w:tc>
      </w:tr>
      <w:tr>
        <w:trPr>
          <w:cantSplit w:val="true"/>
        </w:trPr>
        <w:tc>
          <w:tcPr>
            <w:tcW w:type="dxa" w:w="3288"/>
          </w:tcPr>
          <w:p>
            <w:pPr>
              <w:spacing w:after="0" w:before="0"/>
            </w:pPr>
            <w:r/>
            <w:r>
              <w:rPr>
                <w:b w:val="0"/>
                <w:i w:val="0"/>
                <w:color w:val="1A1A1A"/>
                <w:sz w:val="18"/>
              </w:rPr>
              <w:t>Ursachen bewerten, Wirksamkeit prüfen (10.2)</w:t>
            </w:r>
          </w:p>
        </w:tc>
        <w:tc>
          <w:tcPr>
            <w:tcW w:type="dxa" w:w="3175"/>
          </w:tcPr>
          <w:p>
            <w:pPr>
              <w:spacing w:after="0" w:before="0"/>
            </w:pPr>
            <w:r/>
            <w:r>
              <w:rPr>
                <w:b w:val="0"/>
                <w:i w:val="0"/>
                <w:color w:val="1A1A1A"/>
                <w:sz w:val="18"/>
              </w:rPr>
              <w:t>Vorgang zu den Speiseresten mit Ursache und Nachweis</w:t>
            </w:r>
          </w:p>
        </w:tc>
        <w:tc>
          <w:tcPr>
            <w:tcW w:type="dxa" w:w="3175"/>
          </w:tcPr>
          <w:p>
            <w:pPr>
              <w:spacing w:after="0" w:before="0"/>
            </w:pPr>
            <w:r/>
            <w:r>
              <w:rPr>
                <w:b w:val="0"/>
                <w:i w:val="0"/>
                <w:color w:val="1A1A1A"/>
                <w:sz w:val="18"/>
              </w:rPr>
              <w:t>Methode: Überwachungsberichte nebeneinander lesen</w:t>
            </w:r>
          </w:p>
        </w:tc>
      </w:tr>
    </w:tbl>
    <w:p>
      <w:pPr>
        <w:spacing w:after="40"/>
      </w:pPr>
    </w:p>
    <w:p>
      <w:pPr>
        <w:pStyle w:val="Heading2"/>
      </w:pPr>
      <w:r>
        <w:t>DACH-Anker: Übergang, Zertifikat und neue Themen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Übergangsfrist</w:t>
            </w:r>
          </w:p>
        </w:tc>
        <w:tc>
          <w:tcPr>
            <w:tcW w:type="dxa" w:w="2721"/>
          </w:tcPr>
          <w:p>
            <w:pPr>
              <w:spacing w:after="0" w:before="0"/>
            </w:pPr>
            <w:r/>
            <w:r>
              <w:rPr>
                <w:b w:val="0"/>
                <w:i w:val="0"/>
                <w:color w:val="1A1A1A"/>
                <w:sz w:val="17"/>
              </w:rPr>
              <w:t>nach Angabe von Zertifizierungsstellen 31. März 2027</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ebenso</w:t>
            </w:r>
          </w:p>
        </w:tc>
      </w:tr>
      <w:tr>
        <w:trPr>
          <w:cantSplit w:val="true"/>
        </w:trPr>
        <w:tc>
          <w:tcPr>
            <w:tcW w:type="dxa" w:w="1474"/>
            <w:shd w:val="clear" w:color="auto" w:fill="F3EFE6"/>
          </w:tcPr>
          <w:p>
            <w:pPr>
              <w:spacing w:after="0" w:before="0"/>
            </w:pPr>
            <w:r/>
            <w:r>
              <w:rPr>
                <w:b w:val="0"/>
                <w:i w:val="0"/>
                <w:color w:val="1A1A1A"/>
                <w:sz w:val="17"/>
              </w:rPr>
              <w:t>Akkreditierung für ISO 20121</w:t>
            </w:r>
          </w:p>
        </w:tc>
        <w:tc>
          <w:tcPr>
            <w:tcW w:type="dxa" w:w="2721"/>
            <w:shd w:val="clear" w:color="auto" w:fill="F3EFE6"/>
          </w:tcPr>
          <w:p>
            <w:pPr>
              <w:spacing w:after="0" w:before="0"/>
            </w:pPr>
            <w:r/>
            <w:r>
              <w:rPr>
                <w:b w:val="0"/>
                <w:i w:val="0"/>
                <w:color w:val="1A1A1A"/>
                <w:sz w:val="17"/>
              </w:rPr>
              <w:t>Antrag bei der DAkkS; Entscheidung stand im September 2026 aus</w:t>
            </w:r>
          </w:p>
        </w:tc>
        <w:tc>
          <w:tcPr>
            <w:tcW w:type="dxa" w:w="2721"/>
            <w:shd w:val="clear" w:color="auto" w:fill="F3EFE6"/>
          </w:tcPr>
          <w:p>
            <w:pPr>
              <w:spacing w:after="0" w:before="0"/>
            </w:pPr>
            <w:r/>
            <w:r>
              <w:rPr>
                <w:b w:val="0"/>
                <w:i w:val="0"/>
                <w:color w:val="1A1A1A"/>
                <w:sz w:val="17"/>
              </w:rPr>
              <w:t>bis Redaktionsschluss keine nachgewiesen</w:t>
            </w:r>
          </w:p>
        </w:tc>
        <w:tc>
          <w:tcPr>
            <w:tcW w:type="dxa" w:w="2721"/>
            <w:shd w:val="clear" w:color="auto" w:fill="F3EFE6"/>
          </w:tcPr>
          <w:p>
            <w:pPr>
              <w:spacing w:after="0" w:before="0"/>
            </w:pPr>
            <w:r/>
            <w:r>
              <w:rPr>
                <w:b w:val="0"/>
                <w:i w:val="0"/>
                <w:color w:val="1A1A1A"/>
                <w:sz w:val="17"/>
              </w:rPr>
              <w:t>bis Redaktionsschluss keine nachgewiesen</w:t>
            </w:r>
          </w:p>
        </w:tc>
      </w:tr>
      <w:tr>
        <w:trPr>
          <w:cantSplit w:val="true"/>
        </w:trPr>
        <w:tc>
          <w:tcPr>
            <w:tcW w:type="dxa" w:w="1474"/>
          </w:tcPr>
          <w:p>
            <w:pPr>
              <w:spacing w:after="0" w:before="0"/>
            </w:pPr>
            <w:r/>
            <w:r>
              <w:rPr>
                <w:b w:val="0"/>
                <w:i w:val="0"/>
                <w:color w:val="1A1A1A"/>
                <w:sz w:val="17"/>
              </w:rPr>
              <w:t>Werbung nach Ablauf des Zertifikats</w:t>
            </w:r>
          </w:p>
        </w:tc>
        <w:tc>
          <w:tcPr>
            <w:tcW w:type="dxa" w:w="2721"/>
          </w:tcPr>
          <w:p>
            <w:pPr>
              <w:spacing w:after="0" w:before="0"/>
            </w:pPr>
            <w:r/>
            <w:r>
              <w:rPr>
                <w:b w:val="0"/>
                <w:i w:val="0"/>
                <w:color w:val="1A1A1A"/>
                <w:sz w:val="17"/>
              </w:rPr>
              <w:t>Irreführungsverbot (§ 5 UWG); gegenüber Verbrauchern Anhang Nr. 2a ab 27. September 2026</w:t>
            </w:r>
          </w:p>
        </w:tc>
        <w:tc>
          <w:tcPr>
            <w:tcW w:type="dxa" w:w="2721"/>
          </w:tcPr>
          <w:p>
            <w:pPr>
              <w:spacing w:after="0" w:before="0"/>
            </w:pPr>
            <w:r/>
            <w:r>
              <w:rPr>
                <w:b w:val="0"/>
                <w:i w:val="0"/>
                <w:color w:val="1A1A1A"/>
                <w:sz w:val="17"/>
              </w:rPr>
              <w:t>UWG; gegenüber Verbrauchern Anhang Z 2a ab 27. September 2026</w:t>
            </w:r>
          </w:p>
        </w:tc>
        <w:tc>
          <w:tcPr>
            <w:tcW w:type="dxa" w:w="2721"/>
          </w:tcPr>
          <w:p>
            <w:pPr>
              <w:spacing w:after="0" w:before="0"/>
            </w:pPr>
            <w:r/>
            <w:r>
              <w:rPr>
                <w:b w:val="0"/>
                <w:i w:val="0"/>
                <w:color w:val="1A1A1A"/>
                <w:sz w:val="17"/>
              </w:rPr>
              <w:t>irreführende Angaben (Art. 3 Abs. 1 lit. b UWG)</w:t>
            </w:r>
          </w:p>
        </w:tc>
      </w:tr>
      <w:tr>
        <w:trPr>
          <w:cantSplit w:val="true"/>
        </w:trPr>
        <w:tc>
          <w:tcPr>
            <w:tcW w:type="dxa" w:w="1474"/>
            <w:shd w:val="clear" w:color="auto" w:fill="F3EFE6"/>
          </w:tcPr>
          <w:p>
            <w:pPr>
              <w:spacing w:after="0" w:before="0"/>
            </w:pPr>
            <w:r/>
            <w:r>
              <w:rPr>
                <w:b w:val="0"/>
                <w:i w:val="0"/>
                <w:color w:val="1A1A1A"/>
                <w:sz w:val="17"/>
              </w:rPr>
              <w:t>Umwelt- und Klimaaussagen (Thema nach 4.1)</w:t>
            </w:r>
          </w:p>
        </w:tc>
        <w:tc>
          <w:tcPr>
            <w:tcW w:type="dxa" w:w="2721"/>
            <w:shd w:val="clear" w:color="auto" w:fill="F3EFE6"/>
          </w:tcPr>
          <w:p>
            <w:pPr>
              <w:spacing w:after="0" w:before="0"/>
            </w:pPr>
            <w:r/>
            <w:r>
              <w:rPr>
                <w:b w:val="0"/>
                <w:i w:val="0"/>
                <w:color w:val="1A1A1A"/>
                <w:sz w:val="17"/>
              </w:rPr>
              <w:t>gegenüber Verbrauchern Anhang Nr. 4a bis 4c UWG ab 27. September 2026</w:t>
            </w:r>
          </w:p>
        </w:tc>
        <w:tc>
          <w:tcPr>
            <w:tcW w:type="dxa" w:w="2721"/>
            <w:shd w:val="clear" w:color="auto" w:fill="F3EFE6"/>
          </w:tcPr>
          <w:p>
            <w:pPr>
              <w:spacing w:after="0" w:before="0"/>
            </w:pPr>
            <w:r/>
            <w:r>
              <w:rPr>
                <w:b w:val="0"/>
                <w:i w:val="0"/>
                <w:color w:val="1A1A1A"/>
                <w:sz w:val="17"/>
              </w:rPr>
              <w:t>gegenüber Verbrauchern Anhang Z 4a bis 4c ab 27. September 2026</w:t>
            </w:r>
          </w:p>
        </w:tc>
        <w:tc>
          <w:tcPr>
            <w:tcW w:type="dxa" w:w="2721"/>
            <w:shd w:val="clear" w:color="auto" w:fill="F3EFE6"/>
          </w:tcPr>
          <w:p>
            <w:pPr>
              <w:spacing w:after="0" w:before="0"/>
            </w:pPr>
            <w:r/>
            <w:r>
              <w:rPr>
                <w:b w:val="0"/>
                <w:i w:val="0"/>
                <w:color w:val="1A1A1A"/>
                <w:sz w:val="17"/>
              </w:rPr>
              <w:t>Art. 3 Abs. 1 lit. x UWG seit 1. Januar 2025</w:t>
            </w:r>
          </w:p>
        </w:tc>
      </w:tr>
      <w:tr>
        <w:trPr>
          <w:cantSplit w:val="true"/>
        </w:trPr>
        <w:tc>
          <w:tcPr>
            <w:tcW w:type="dxa" w:w="1474"/>
          </w:tcPr>
          <w:p>
            <w:pPr>
              <w:spacing w:after="0" w:before="0"/>
            </w:pPr>
            <w:r/>
            <w:r>
              <w:rPr>
                <w:b w:val="0"/>
                <w:i w:val="0"/>
                <w:color w:val="1A1A1A"/>
                <w:sz w:val="17"/>
              </w:rPr>
              <w:t>Menschen- und Kinderrechte (6.1.2)</w:t>
            </w:r>
          </w:p>
        </w:tc>
        <w:tc>
          <w:tcPr>
            <w:tcW w:type="dxa" w:w="2721"/>
          </w:tcPr>
          <w:p>
            <w:pPr>
              <w:spacing w:after="0" w:before="0"/>
            </w:pPr>
            <w:r/>
            <w:r>
              <w:rPr>
                <w:b w:val="0"/>
                <w:i w:val="0"/>
                <w:color w:val="1A1A1A"/>
                <w:sz w:val="17"/>
              </w:rPr>
              <w:t>Lieferkettensorgfaltspflichtengesetz ab 1.000 Beschäftigten im Inland; Hotels meist als Lieferant betroffen</w:t>
            </w:r>
          </w:p>
        </w:tc>
        <w:tc>
          <w:tcPr>
            <w:tcW w:type="dxa" w:w="2721"/>
          </w:tcPr>
          <w:p>
            <w:pPr>
              <w:spacing w:after="0" w:before="0"/>
            </w:pPr>
            <w:r/>
            <w:r>
              <w:rPr>
                <w:b w:val="0"/>
                <w:i w:val="0"/>
                <w:color w:val="1A1A1A"/>
                <w:sz w:val="17"/>
              </w:rPr>
              <w:t>Umsetzung der EU-Lieferkettenrichtlinie bis 26. Juli 2028</w:t>
            </w:r>
          </w:p>
        </w:tc>
        <w:tc>
          <w:tcPr>
            <w:tcW w:type="dxa" w:w="2721"/>
          </w:tcPr>
          <w:p>
            <w:pPr>
              <w:spacing w:after="0" w:before="0"/>
            </w:pPr>
            <w:r/>
            <w:r>
              <w:rPr>
                <w:b w:val="0"/>
                <w:i w:val="0"/>
                <w:color w:val="1A1A1A"/>
                <w:sz w:val="17"/>
              </w:rPr>
              <w:t>Art. 964j ff. OR mit Befreiungen</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4.11.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4.11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4.11 — Rezertifizierung und Übergang vorbereiten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