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4.12</w:t>
      </w:r>
    </w:p>
    <w:p>
      <w:pPr>
        <w:pStyle w:val="Heading1"/>
      </w:pPr>
      <w:r>
        <w:t>Die ISO 20121 in ein bestehendes System einbauen</w:t>
      </w:r>
    </w:p>
    <w:p>
      <w:pPr>
        <w:spacing w:after="0"/>
      </w:pPr>
      <w:r>
        <w:rPr>
          <w:b w:val="0"/>
          <w:i/>
          <w:color w:val="5A5A5A"/>
        </w:rPr>
        <w:t>Abschnitt 4.12 · Integration mit anderen Managementsystemen</w:t>
      </w:r>
    </w:p>
    <w:p>
      <w:pPr>
        <w:spacing w:after="160"/>
      </w:pPr>
      <w:r>
        <w:rPr>
          <w:b w:val="0"/>
          <w:i w:val="0"/>
          <w:color w:val="5A5A5A"/>
          <w:sz w:val="18"/>
        </w:rPr>
        <w:t>Modellfall im Buch: Baden-Baden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Wie oft im Jahr erzählt Ihr Bankettleiter einem Auditor dasselbe, nur unter einer anderen Normnummer? Und wenn eine Zertifizierungsstelle Ihnen anbietet, die ISO 20121 gleich mitzuprüfen: Wissen Sie, was sie dabei gemeinsam prüfen darf und was jedes Zertifikat danach über Ihr Haus sagt?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Ein System, drei Blickwinkel</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Baustein</w:t>
            </w:r>
          </w:p>
        </w:tc>
        <w:tc>
          <w:tcPr>
            <w:tcW w:type="dxa" w:w="3213"/>
            <w:shd w:val="clear" w:color="auto" w:fill="8C5A2B"/>
          </w:tcPr>
          <w:p>
            <w:pPr>
              <w:spacing w:after="0" w:before="0"/>
            </w:pPr>
            <w:r/>
            <w:r>
              <w:rPr>
                <w:b/>
                <w:i w:val="0"/>
                <w:color w:val="FFFFFF"/>
                <w:sz w:val="18"/>
              </w:rPr>
              <w:t>Gemeinsam geführt</w:t>
            </w:r>
          </w:p>
        </w:tc>
        <w:tc>
          <w:tcPr>
            <w:tcW w:type="dxa" w:w="3213"/>
            <w:shd w:val="clear" w:color="auto" w:fill="8C5A2B"/>
          </w:tcPr>
          <w:p>
            <w:pPr>
              <w:spacing w:after="0" w:before="0"/>
            </w:pPr>
            <w:r/>
            <w:r>
              <w:rPr>
                <w:b/>
                <w:i w:val="0"/>
                <w:color w:val="FFFFFF"/>
                <w:sz w:val="18"/>
              </w:rPr>
              <w:t>Eigens für ISO 20121</w:t>
            </w:r>
          </w:p>
        </w:tc>
      </w:tr>
      <w:tr>
        <w:trPr>
          <w:cantSplit w:val="true"/>
        </w:trPr>
        <w:tc>
          <w:tcPr>
            <w:tcW w:type="dxa" w:w="3213"/>
          </w:tcPr>
          <w:p>
            <w:pPr>
              <w:spacing w:after="0" w:before="0"/>
            </w:pPr>
            <w:r/>
            <w:r>
              <w:rPr>
                <w:b w:val="0"/>
                <w:i w:val="0"/>
                <w:color w:val="1A1A1A"/>
                <w:sz w:val="18"/>
              </w:rPr>
              <w:t>Kontext und Anwendungsbereich</w:t>
            </w:r>
          </w:p>
        </w:tc>
        <w:tc>
          <w:tcPr>
            <w:tcW w:type="dxa" w:w="3213"/>
          </w:tcPr>
          <w:p>
            <w:pPr>
              <w:spacing w:after="0" w:before="0"/>
            </w:pPr>
            <w:r/>
            <w:r>
              <w:rPr>
                <w:b w:val="0"/>
                <w:i w:val="0"/>
                <w:color w:val="1A1A1A"/>
                <w:sz w:val="18"/>
              </w:rPr>
              <w:t>ein Blatt mit beiden Grenzen</w:t>
            </w:r>
          </w:p>
        </w:tc>
        <w:tc>
          <w:tcPr>
            <w:tcW w:type="dxa" w:w="3213"/>
          </w:tcPr>
          <w:p>
            <w:pPr>
              <w:spacing w:after="0" w:before="0"/>
            </w:pPr>
            <w:r/>
            <w:r>
              <w:rPr>
                <w:b w:val="0"/>
                <w:i w:val="0"/>
                <w:color w:val="1A1A1A"/>
                <w:sz w:val="18"/>
              </w:rPr>
              <w:t>nur Veranstaltungen in Sälen und Salons (4.3)</w:t>
            </w:r>
          </w:p>
        </w:tc>
      </w:tr>
      <w:tr>
        <w:trPr>
          <w:cantSplit w:val="true"/>
        </w:trPr>
        <w:tc>
          <w:tcPr>
            <w:tcW w:type="dxa" w:w="3213"/>
            <w:shd w:val="clear" w:color="auto" w:fill="F3EFE6"/>
          </w:tcPr>
          <w:p>
            <w:pPr>
              <w:spacing w:after="0" w:before="0"/>
            </w:pPr>
            <w:r/>
            <w:r>
              <w:rPr>
                <w:b w:val="0"/>
                <w:i w:val="0"/>
                <w:color w:val="1A1A1A"/>
                <w:sz w:val="18"/>
              </w:rPr>
              <w:t>Politik und Leitbild</w:t>
            </w:r>
          </w:p>
        </w:tc>
        <w:tc>
          <w:tcPr>
            <w:tcW w:type="dxa" w:w="3213"/>
            <w:shd w:val="clear" w:color="auto" w:fill="F3EFE6"/>
          </w:tcPr>
          <w:p>
            <w:pPr>
              <w:spacing w:after="0" w:before="0"/>
            </w:pPr>
            <w:r/>
            <w:r>
              <w:rPr>
                <w:b w:val="0"/>
                <w:i w:val="0"/>
                <w:color w:val="1A1A1A"/>
                <w:sz w:val="18"/>
              </w:rPr>
              <w:t>eine Politik, datiert und unterzeichnet</w:t>
            </w:r>
          </w:p>
        </w:tc>
        <w:tc>
          <w:tcPr>
            <w:tcW w:type="dxa" w:w="3213"/>
            <w:shd w:val="clear" w:color="auto" w:fill="F3EFE6"/>
          </w:tcPr>
          <w:p>
            <w:pPr>
              <w:spacing w:after="0" w:before="0"/>
            </w:pPr>
            <w:r/>
            <w:r>
              <w:rPr>
                <w:b w:val="0"/>
                <w:i w:val="0"/>
                <w:color w:val="1A1A1A"/>
                <w:sz w:val="18"/>
              </w:rPr>
              <w:t>Leitbild mit den vier Grundsätzen als Rahmen (4.5, 5.2)</w:t>
            </w:r>
          </w:p>
        </w:tc>
      </w:tr>
      <w:tr>
        <w:trPr>
          <w:cantSplit w:val="true"/>
        </w:trPr>
        <w:tc>
          <w:tcPr>
            <w:tcW w:type="dxa" w:w="3213"/>
          </w:tcPr>
          <w:p>
            <w:pPr>
              <w:spacing w:after="0" w:before="0"/>
            </w:pPr>
            <w:r/>
            <w:r>
              <w:rPr>
                <w:b w:val="0"/>
                <w:i w:val="0"/>
                <w:color w:val="1A1A1A"/>
                <w:sz w:val="18"/>
              </w:rPr>
              <w:t>Themen und Aspekte</w:t>
            </w:r>
          </w:p>
        </w:tc>
        <w:tc>
          <w:tcPr>
            <w:tcW w:type="dxa" w:w="3213"/>
          </w:tcPr>
          <w:p>
            <w:pPr>
              <w:spacing w:after="0" w:before="0"/>
            </w:pPr>
            <w:r/>
            <w:r>
              <w:rPr>
                <w:b w:val="0"/>
                <w:i w:val="0"/>
                <w:color w:val="1A1A1A"/>
                <w:sz w:val="18"/>
              </w:rPr>
              <w:t>ein Register</w:t>
            </w:r>
          </w:p>
        </w:tc>
        <w:tc>
          <w:tcPr>
            <w:tcW w:type="dxa" w:w="3213"/>
          </w:tcPr>
          <w:p>
            <w:pPr>
              <w:spacing w:after="0" w:before="0"/>
            </w:pPr>
            <w:r/>
            <w:r>
              <w:rPr>
                <w:b w:val="0"/>
                <w:i w:val="0"/>
                <w:color w:val="1A1A1A"/>
                <w:sz w:val="18"/>
              </w:rPr>
              <w:t>soziale und wirtschaftliche Themen; beeinflussbare Themen (6.1.2)</w:t>
            </w:r>
          </w:p>
        </w:tc>
      </w:tr>
      <w:tr>
        <w:trPr>
          <w:cantSplit w:val="true"/>
        </w:trPr>
        <w:tc>
          <w:tcPr>
            <w:tcW w:type="dxa" w:w="3213"/>
            <w:shd w:val="clear" w:color="auto" w:fill="F3EFE6"/>
          </w:tcPr>
          <w:p>
            <w:pPr>
              <w:spacing w:after="0" w:before="0"/>
            </w:pPr>
            <w:r/>
            <w:r>
              <w:rPr>
                <w:b w:val="0"/>
                <w:i w:val="0"/>
                <w:color w:val="1A1A1A"/>
                <w:sz w:val="18"/>
              </w:rPr>
              <w:t>Lieferanten</w:t>
            </w:r>
          </w:p>
        </w:tc>
        <w:tc>
          <w:tcPr>
            <w:tcW w:type="dxa" w:w="3213"/>
            <w:shd w:val="clear" w:color="auto" w:fill="F3EFE6"/>
          </w:tcPr>
          <w:p>
            <w:pPr>
              <w:spacing w:after="0" w:before="0"/>
            </w:pPr>
            <w:r/>
            <w:r>
              <w:rPr>
                <w:b w:val="0"/>
                <w:i w:val="0"/>
                <w:color w:val="1A1A1A"/>
                <w:sz w:val="18"/>
              </w:rPr>
              <w:t>ein Bewertungsbogen</w:t>
            </w:r>
          </w:p>
        </w:tc>
        <w:tc>
          <w:tcPr>
            <w:tcW w:type="dxa" w:w="3213"/>
            <w:shd w:val="clear" w:color="auto" w:fill="F3EFE6"/>
          </w:tcPr>
          <w:p>
            <w:pPr>
              <w:spacing w:after="0" w:before="0"/>
            </w:pPr>
            <w:r/>
            <w:r>
              <w:rPr>
                <w:b w:val="0"/>
                <w:i w:val="0"/>
                <w:color w:val="1A1A1A"/>
                <w:sz w:val="18"/>
              </w:rPr>
              <w:t>Nachhaltigkeitskriterien in Auswahl und Ausschreibung (8.3)</w:t>
            </w:r>
          </w:p>
        </w:tc>
      </w:tr>
      <w:tr>
        <w:trPr>
          <w:cantSplit w:val="true"/>
        </w:trPr>
        <w:tc>
          <w:tcPr>
            <w:tcW w:type="dxa" w:w="3213"/>
          </w:tcPr>
          <w:p>
            <w:pPr>
              <w:spacing w:after="0" w:before="0"/>
            </w:pPr>
            <w:r/>
            <w:r>
              <w:rPr>
                <w:b w:val="0"/>
                <w:i w:val="0"/>
                <w:color w:val="1A1A1A"/>
                <w:sz w:val="18"/>
              </w:rPr>
              <w:t>Betrieb</w:t>
            </w:r>
          </w:p>
        </w:tc>
        <w:tc>
          <w:tcPr>
            <w:tcW w:type="dxa" w:w="3213"/>
          </w:tcPr>
          <w:p>
            <w:pPr>
              <w:spacing w:after="0" w:before="0"/>
            </w:pPr>
            <w:r/>
            <w:r>
              <w:rPr>
                <w:b w:val="0"/>
                <w:i w:val="0"/>
                <w:color w:val="1A1A1A"/>
                <w:sz w:val="18"/>
              </w:rPr>
              <w:t>Bankettformular, Ablaufplan</w:t>
            </w:r>
          </w:p>
        </w:tc>
        <w:tc>
          <w:tcPr>
            <w:tcW w:type="dxa" w:w="3213"/>
          </w:tcPr>
          <w:p>
            <w:pPr>
              <w:spacing w:after="0" w:before="0"/>
            </w:pPr>
            <w:r/>
            <w:r>
              <w:rPr>
                <w:b w:val="0"/>
                <w:i w:val="0"/>
                <w:color w:val="1A1A1A"/>
                <w:sz w:val="18"/>
              </w:rPr>
              <w:t>Lehren aus jeder Veranstaltung (9.1 c)</w:t>
            </w:r>
          </w:p>
        </w:tc>
      </w:tr>
      <w:tr>
        <w:trPr>
          <w:cantSplit w:val="true"/>
        </w:trPr>
        <w:tc>
          <w:tcPr>
            <w:tcW w:type="dxa" w:w="3213"/>
            <w:shd w:val="clear" w:color="auto" w:fill="F3EFE6"/>
          </w:tcPr>
          <w:p>
            <w:pPr>
              <w:spacing w:after="0" w:before="0"/>
            </w:pPr>
            <w:r/>
            <w:r>
              <w:rPr>
                <w:b w:val="0"/>
                <w:i w:val="0"/>
                <w:color w:val="1A1A1A"/>
                <w:sz w:val="18"/>
              </w:rPr>
              <w:t>Internes Audit und Managementbewertung</w:t>
            </w:r>
          </w:p>
        </w:tc>
        <w:tc>
          <w:tcPr>
            <w:tcW w:type="dxa" w:w="3213"/>
            <w:shd w:val="clear" w:color="auto" w:fill="F3EFE6"/>
          </w:tcPr>
          <w:p>
            <w:pPr>
              <w:spacing w:after="0" w:before="0"/>
            </w:pPr>
            <w:r/>
            <w:r>
              <w:rPr>
                <w:b w:val="0"/>
                <w:i w:val="0"/>
                <w:color w:val="1A1A1A"/>
                <w:sz w:val="18"/>
              </w:rPr>
              <w:t>ein Programm, eine Bewertung</w:t>
            </w:r>
          </w:p>
        </w:tc>
        <w:tc>
          <w:tcPr>
            <w:tcW w:type="dxa" w:w="3213"/>
            <w:shd w:val="clear" w:color="auto" w:fill="F3EFE6"/>
          </w:tcPr>
          <w:p>
            <w:pPr>
              <w:spacing w:after="0" w:before="0"/>
            </w:pPr>
            <w:r/>
            <w:r>
              <w:rPr>
                <w:b w:val="0"/>
                <w:i w:val="0"/>
                <w:color w:val="1A1A1A"/>
                <w:sz w:val="18"/>
              </w:rPr>
              <w:t>Bewertung gegen die Leitprinzipien (9.3.4)</w:t>
            </w:r>
          </w:p>
        </w:tc>
      </w:tr>
      <w:tr>
        <w:trPr>
          <w:cantSplit w:val="true"/>
        </w:trPr>
        <w:tc>
          <w:tcPr>
            <w:tcW w:type="dxa" w:w="3213"/>
          </w:tcPr>
          <w:p>
            <w:pPr>
              <w:spacing w:after="0" w:before="0"/>
            </w:pPr>
            <w:r/>
            <w:r>
              <w:rPr>
                <w:b w:val="0"/>
                <w:i w:val="0"/>
                <w:color w:val="1A1A1A"/>
                <w:sz w:val="18"/>
              </w:rPr>
              <w:t>Verbesserung</w:t>
            </w:r>
          </w:p>
        </w:tc>
        <w:tc>
          <w:tcPr>
            <w:tcW w:type="dxa" w:w="3213"/>
          </w:tcPr>
          <w:p>
            <w:pPr>
              <w:spacing w:after="0" w:before="0"/>
            </w:pPr>
            <w:r/>
            <w:r>
              <w:rPr>
                <w:b w:val="0"/>
                <w:i w:val="0"/>
                <w:color w:val="1A1A1A"/>
                <w:sz w:val="18"/>
              </w:rPr>
              <w:t>ein Register für Nichtkonformitäten</w:t>
            </w:r>
          </w:p>
        </w:tc>
        <w:tc>
          <w:tcPr>
            <w:tcW w:type="dxa" w:w="3213"/>
          </w:tcPr>
          <w:p>
            <w:pPr>
              <w:spacing w:after="0" w:before="0"/>
            </w:pPr>
            <w:r/>
            <w:r>
              <w:rPr>
                <w:b w:val="0"/>
                <w:i w:val="0"/>
                <w:color w:val="1A1A1A"/>
                <w:sz w:val="18"/>
              </w:rPr>
              <w:t>keine eigene Anforderung</w:t>
            </w:r>
          </w:p>
        </w:tc>
      </w:tr>
    </w:tbl>
    <w:p>
      <w:pPr>
        <w:spacing w:after="40"/>
      </w:pPr>
    </w:p>
    <w:p>
      <w:pPr>
        <w:pStyle w:val="Heading2"/>
      </w:pPr>
      <w:r>
        <w:t>Praktische Anwendung: die ISO 20121 in sieben Schritten in ein bestehendes System einbauen</w:t>
      </w:r>
    </w:p>
    <w:p>
      <w:pPr>
        <w:tabs>
          <w:tab w:pos="340" w:val="left"/>
        </w:tabs>
        <w:ind w:left="340" w:hanging="340"/>
      </w:pPr>
      <w:r>
        <w:rPr>
          <w:b/>
          <w:color w:val="8C5A2B"/>
        </w:rPr>
        <w:t>1.</w:t>
        <w:tab/>
      </w:r>
      <w:r>
        <w:rPr>
          <w:b/>
        </w:rPr>
        <w:t>Die Abläufe einmal beschreiben.</w:t>
      </w:r>
      <w:r>
        <w:t xml:space="preserve"> Angebot, Planung, Durchführung, Abbau, Nachbereitung: so, wie das Haus arbeitet, nicht nach Normkapiteln.</w:t>
      </w:r>
    </w:p>
    <w:p>
      <w:pPr>
        <w:tabs>
          <w:tab w:pos="340" w:val="left"/>
        </w:tabs>
        <w:ind w:left="340" w:hanging="340"/>
      </w:pPr>
      <w:r>
        <w:rPr>
          <w:b/>
          <w:color w:val="8C5A2B"/>
        </w:rPr>
        <w:t>2.</w:t>
        <w:tab/>
      </w:r>
      <w:r>
        <w:rPr>
          <w:b/>
        </w:rPr>
        <w:t>Neben jeden Ablauf die Anforderungen legen.</w:t>
      </w:r>
      <w:r>
        <w:t xml:space="preserve"> Eine Spalte je Norm. Wo die ISO 20121 etwas Eigenes verlangt, steht es in ihrer Spalte und nirgends sonst versteckt.</w:t>
      </w:r>
    </w:p>
    <w:p>
      <w:pPr>
        <w:tabs>
          <w:tab w:pos="340" w:val="left"/>
        </w:tabs>
        <w:ind w:left="340" w:hanging="340"/>
      </w:pPr>
      <w:r>
        <w:rPr>
          <w:b/>
          <w:color w:val="8C5A2B"/>
        </w:rPr>
        <w:t>3.</w:t>
        <w:tab/>
      </w:r>
      <w:r>
        <w:rPr>
          <w:b/>
        </w:rPr>
        <w:t>Die Anwendungsbereiche auf ein Blatt schreiben.</w:t>
      </w:r>
      <w:r>
        <w:t xml:space="preserve"> Für jede Norm die Grenze: das ganze Haus, nur die Säle, nur bestimmte Leistungen.</w:t>
      </w:r>
    </w:p>
    <w:p>
      <w:pPr>
        <w:tabs>
          <w:tab w:pos="340" w:val="left"/>
        </w:tabs>
        <w:ind w:left="340" w:hanging="340"/>
      </w:pPr>
      <w:r>
        <w:rPr>
          <w:b/>
          <w:color w:val="8C5A2B"/>
        </w:rPr>
        <w:t>4.</w:t>
        <w:tab/>
      </w:r>
      <w:r>
        <w:rPr>
          <w:b/>
        </w:rPr>
        <w:t>Eine Politik und ein Leitbild verabschieden.</w:t>
      </w:r>
      <w:r>
        <w:t xml:space="preserve"> Die bisherigen Fassungen werden ersetzt. Die vier Grundsätze bilden den Rahmen, und die Direktion unterzeichnet mit Datum.</w:t>
      </w:r>
    </w:p>
    <w:p>
      <w:pPr>
        <w:tabs>
          <w:tab w:pos="340" w:val="left"/>
        </w:tabs>
        <w:ind w:left="340" w:hanging="340"/>
      </w:pPr>
      <w:r>
        <w:rPr>
          <w:b/>
          <w:color w:val="8C5A2B"/>
        </w:rPr>
        <w:t>5.</w:t>
        <w:tab/>
      </w:r>
      <w:r>
        <w:rPr>
          <w:b/>
        </w:rPr>
        <w:t>Die gemeinsamen Bausteine zusammenlegen.</w:t>
      </w:r>
      <w:r>
        <w:t xml:space="preserve"> Ein Register für Nichtkonformitäten, ein Programm für interne Audits, eine Managementbewertung mit einem eigenen Teil für die Leitprinzipien.</w:t>
      </w:r>
    </w:p>
    <w:p>
      <w:pPr>
        <w:tabs>
          <w:tab w:pos="340" w:val="left"/>
        </w:tabs>
        <w:ind w:left="340" w:hanging="340"/>
      </w:pPr>
      <w:r>
        <w:rPr>
          <w:b/>
          <w:color w:val="8C5A2B"/>
        </w:rPr>
        <w:t>6.</w:t>
        <w:tab/>
      </w:r>
      <w:r>
        <w:rPr>
          <w:b/>
        </w:rPr>
        <w:t>Das kombinierte Audit nachfragen.</w:t>
      </w:r>
      <w:r>
        <w:t xml:space="preserve"> Was prüft die Stelle gemeinsam, was eigens, wer ist für die ISO 20121 kompetent, an welchem Tag mit Veranstaltung? Und unter welcher Akkreditierung steht jedes Zertifikat?</w:t>
      </w:r>
    </w:p>
    <w:p>
      <w:pPr>
        <w:tabs>
          <w:tab w:pos="340" w:val="left"/>
        </w:tabs>
        <w:ind w:left="340" w:hanging="340"/>
      </w:pPr>
      <w:r>
        <w:rPr>
          <w:b/>
          <w:color w:val="8C5A2B"/>
        </w:rPr>
        <w:t>7.</w:t>
        <w:tab/>
      </w:r>
      <w:r>
        <w:rPr>
          <w:b/>
        </w:rPr>
        <w:t>Die Aussagen nach außen trennen.</w:t>
      </w:r>
      <w:r>
        <w:t xml:space="preserve"> Jede Norm mit ihrem Geltungsbereich und ihrem Status. Keine Zusammenfassung, die mehr sagt als das einzelne Zertifikat.</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Abläufe einmal beschreiben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Neben jeden Ablauf die Anforderungen 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Anwendungsbereiche auf ein Blatt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Eine Politik und ein Leitbild verabschieden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gemeinsamen Bausteine zusammenlegen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Das kombinierte Audit nachfragen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Aussagen nach außen trennen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Beschreiben wir jeden Ablauf nur einmal, mit den Anforderungen aller Normen daneben?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die eigenen Anforderungen der ISO 20121 eine sichtbare Stelle im System?</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Steht der Anwendungsbereich jeder Norm auf einem gemeinsamen Blatt?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Gibt es eine einzige gültige Politik mit Verweis auf das Leitbild?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Führen wir ein Register für Nichtkonformitäten und ein Programm für interne Audits?</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Enthält die Managementbewertung einen eigenen Teil zur Bewertung gegen die Leitprinzipien?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Wissen wir, was die Stelle im kombinierten Audit gemeinsam und was sie eigens prüft?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Nennen wir nach außen für jedes Zertifikat Norm, Geltungsbereich und Status?</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Für jede Norm ein Handbuch anlegen.</w:t>
      </w:r>
      <w:r>
        <w:t xml:space="preserve"> Das Haus hat ein Bankett, und drei Beschreibungen davon veralten getrennt.</w:t>
      </w:r>
    </w:p>
    <w:p>
      <w:pPr>
        <w:tabs>
          <w:tab w:pos="340" w:val="left"/>
        </w:tabs>
        <w:ind w:left="340" w:hanging="340"/>
      </w:pPr>
      <w:r>
        <w:rPr>
          <w:color w:val="8C5A2B"/>
        </w:rPr>
        <w:t>–</w:t>
        <w:tab/>
      </w:r>
      <w:r>
        <w:rPr>
          <w:b/>
        </w:rPr>
        <w:t>Die ISO 20121 an die ISO 14001 hängen.</w:t>
      </w:r>
      <w:r>
        <w:t xml:space="preserve"> Inklusion, Lieferkette und Lehren aus jeder Veranstaltung stehen in keinem Umweltaspekteregister.</w:t>
      </w:r>
    </w:p>
    <w:p>
      <w:pPr>
        <w:tabs>
          <w:tab w:pos="340" w:val="left"/>
        </w:tabs>
        <w:ind w:left="340" w:hanging="340"/>
      </w:pPr>
      <w:r>
        <w:rPr>
          <w:color w:val="8C5A2B"/>
        </w:rPr>
        <w:t>–</w:t>
        <w:tab/>
      </w:r>
      <w:r>
        <w:rPr>
          <w:b/>
        </w:rPr>
        <w:t>Die Anwendungsbereiche nicht festhalten.</w:t>
      </w:r>
      <w:r>
        <w:t xml:space="preserve"> Dann gilt nach außen für das ganze Haus, was nur für die Säle geprüft ist.</w:t>
      </w:r>
    </w:p>
    <w:p>
      <w:pPr>
        <w:tabs>
          <w:tab w:pos="340" w:val="left"/>
        </w:tabs>
        <w:ind w:left="340" w:hanging="340"/>
      </w:pPr>
      <w:r>
        <w:rPr>
          <w:color w:val="8C5A2B"/>
        </w:rPr>
        <w:t>–</w:t>
        <w:tab/>
      </w:r>
      <w:r>
        <w:rPr>
          <w:b/>
        </w:rPr>
        <w:t>Im kombinierten Audit eine kleinere Prüfung sehen.</w:t>
      </w:r>
      <w:r>
        <w:t xml:space="preserve"> Gespart wird nur, was die Stelle sonst doppelt gesehen hätte.</w:t>
      </w:r>
    </w:p>
    <w:p>
      <w:pPr>
        <w:tabs>
          <w:tab w:pos="340" w:val="left"/>
        </w:tabs>
        <w:ind w:left="340" w:hanging="340"/>
      </w:pPr>
      <w:r>
        <w:rPr>
          <w:color w:val="8C5A2B"/>
        </w:rPr>
        <w:t>–</w:t>
        <w:tab/>
      </w:r>
      <w:r>
        <w:rPr>
          <w:b/>
        </w:rPr>
        <w:t>Den Status der Zertifikate zusammenziehen.</w:t>
      </w:r>
      <w:r>
        <w:t xml:space="preserve"> Akkreditiert ist, was im Geltungsbereich der Akkreditierung steht.</w:t>
      </w:r>
    </w:p>
    <w:p>
      <w:pPr>
        <w:tabs>
          <w:tab w:pos="340" w:val="left"/>
        </w:tabs>
        <w:ind w:left="340" w:hanging="340"/>
      </w:pPr>
      <w:r>
        <w:rPr>
          <w:color w:val="8C5A2B"/>
        </w:rPr>
        <w:t>–</w:t>
        <w:tab/>
      </w:r>
      <w:r>
        <w:rPr>
          <w:b/>
        </w:rPr>
        <w:t>Den Berater zum Auditor machen.</w:t>
      </w:r>
      <w:r>
        <w:t xml:space="preserve"> Wer bei der Integration beraten hat, gefährdet als Auditor die Unparteilichkeit.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Getrennt: 4 Auditortage für ISO 9001 und 14001, 3,5 für ISO 20121, zu € 1.400</w:t>
            </w:r>
          </w:p>
        </w:tc>
        <w:tc>
          <w:tcPr>
            <w:tcW w:type="dxa" w:w="1474"/>
          </w:tcPr>
          <w:p>
            <w:pPr>
              <w:spacing w:after="0" w:before="0"/>
            </w:pPr>
            <w:r/>
            <w:r>
              <w:rPr>
                <w:b w:val="0"/>
                <w:i w:val="0"/>
                <w:color w:val="1A1A1A"/>
                <w:sz w:val="18"/>
              </w:rPr>
              <w:t>€ 10.500</w:t>
            </w:r>
          </w:p>
        </w:tc>
        <w:tc>
          <w:tcPr>
            <w:tcW w:type="dxa" w:w="3175"/>
          </w:tcPr>
          <w:p>
            <w:pPr>
              <w:spacing w:after="0" w:before="0"/>
            </w:pPr>
            <w:r/>
            <w:r>
              <w:rPr>
                <w:b w:val="0"/>
                <w:i w:val="0"/>
                <w:color w:val="1A1A1A"/>
                <w:sz w:val="18"/>
              </w:rPr>
              <w:t>Annahme, Jahr der Erstzertifizierung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Kombiniert: 6 Auditortage zu € 1.400</w:t>
            </w:r>
          </w:p>
        </w:tc>
        <w:tc>
          <w:tcPr>
            <w:tcW w:type="dxa" w:w="1474"/>
            <w:shd w:val="clear" w:color="auto" w:fill="F3EFE6"/>
          </w:tcPr>
          <w:p>
            <w:pPr>
              <w:spacing w:after="0" w:before="0"/>
            </w:pPr>
            <w:r/>
            <w:r>
              <w:rPr>
                <w:b w:val="0"/>
                <w:i w:val="0"/>
                <w:color w:val="1A1A1A"/>
                <w:sz w:val="18"/>
              </w:rPr>
              <w:t>€ 8.400</w:t>
            </w:r>
          </w:p>
        </w:tc>
        <w:tc>
          <w:tcPr>
            <w:tcW w:type="dxa" w:w="3175"/>
            <w:shd w:val="clear" w:color="auto" w:fill="F3EFE6"/>
          </w:tcPr>
          <w:p>
            <w:pPr>
              <w:spacing w:after="0" w:before="0"/>
            </w:pPr>
            <w:r/>
            <w:r>
              <w:rPr>
                <w:b w:val="0"/>
                <w:i w:val="0"/>
                <w:color w:val="1A1A1A"/>
                <w:sz w:val="18"/>
              </w:rPr>
              <w:t>Annahme nach dem Angebot im Fall</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Drittes Handbuch nach Bauers Plan</w:t>
            </w:r>
          </w:p>
        </w:tc>
        <w:tc>
          <w:tcPr>
            <w:tcW w:type="dxa" w:w="1474"/>
          </w:tcPr>
          <w:p>
            <w:pPr>
              <w:spacing w:after="0" w:before="0"/>
            </w:pPr>
            <w:r/>
            <w:r>
              <w:rPr>
                <w:b w:val="0"/>
                <w:i w:val="0"/>
                <w:color w:val="1A1A1A"/>
                <w:sz w:val="18"/>
              </w:rPr>
              <w:t>120 Stunden</w:t>
            </w:r>
          </w:p>
        </w:tc>
        <w:tc>
          <w:tcPr>
            <w:tcW w:type="dxa" w:w="3175"/>
          </w:tcPr>
          <w:p>
            <w:pPr>
              <w:spacing w:after="0" w:before="0"/>
            </w:pPr>
            <w:r/>
            <w:r>
              <w:rPr>
                <w:b w:val="0"/>
                <w:i w:val="0"/>
                <w:color w:val="1A1A1A"/>
                <w:sz w:val="18"/>
              </w:rPr>
              <w:t>einmalig, Qualitätsmanagement</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Integration: Abläufe, Verzeichnis, Leitbild, eine Politik</w:t>
            </w:r>
          </w:p>
        </w:tc>
        <w:tc>
          <w:tcPr>
            <w:tcW w:type="dxa" w:w="1474"/>
            <w:shd w:val="clear" w:color="auto" w:fill="F3EFE6"/>
          </w:tcPr>
          <w:p>
            <w:pPr>
              <w:spacing w:after="0" w:before="0"/>
            </w:pPr>
            <w:r/>
            <w:r>
              <w:rPr>
                <w:b w:val="0"/>
                <w:i w:val="0"/>
                <w:color w:val="1A1A1A"/>
                <w:sz w:val="18"/>
              </w:rPr>
              <w:t>85 Stunden</w:t>
            </w:r>
          </w:p>
        </w:tc>
        <w:tc>
          <w:tcPr>
            <w:tcW w:type="dxa" w:w="3175"/>
            <w:shd w:val="clear" w:color="auto" w:fill="F3EFE6"/>
          </w:tcPr>
          <w:p>
            <w:pPr>
              <w:spacing w:after="0" w:before="0"/>
            </w:pPr>
            <w:r/>
            <w:r>
              <w:rPr>
                <w:b w:val="0"/>
                <w:i w:val="0"/>
                <w:color w:val="1A1A1A"/>
                <w:sz w:val="18"/>
              </w:rPr>
              <w:t>einmalig, Qualitätsmanagement und Direktion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Managementbewertungen: drei statt einer, je 6 Stunden mit 5 Personen</w:t>
            </w:r>
          </w:p>
        </w:tc>
        <w:tc>
          <w:tcPr>
            <w:tcW w:type="dxa" w:w="1474"/>
          </w:tcPr>
          <w:p>
            <w:pPr>
              <w:spacing w:after="0" w:before="0"/>
            </w:pPr>
            <w:r/>
            <w:r>
              <w:rPr>
                <w:b w:val="0"/>
                <w:i w:val="0"/>
                <w:color w:val="1A1A1A"/>
                <w:sz w:val="18"/>
              </w:rPr>
              <w:t>60 Stunden mehr</w:t>
            </w:r>
          </w:p>
        </w:tc>
        <w:tc>
          <w:tcPr>
            <w:tcW w:type="dxa" w:w="3175"/>
          </w:tcPr>
          <w:p>
            <w:pPr>
              <w:spacing w:after="0" w:before="0"/>
            </w:pPr>
            <w:r/>
            <w:r>
              <w:rPr>
                <w:b w:val="0"/>
                <w:i w:val="0"/>
                <w:color w:val="1A1A1A"/>
                <w:sz w:val="18"/>
              </w:rPr>
              <w:t>jährlich</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Interne Audits im Bankett: drei statt eines, je 4 Stunden</w:t>
            </w:r>
          </w:p>
        </w:tc>
        <w:tc>
          <w:tcPr>
            <w:tcW w:type="dxa" w:w="1474"/>
            <w:shd w:val="clear" w:color="auto" w:fill="F3EFE6"/>
          </w:tcPr>
          <w:p>
            <w:pPr>
              <w:spacing w:after="0" w:before="0"/>
            </w:pPr>
            <w:r/>
            <w:r>
              <w:rPr>
                <w:b w:val="0"/>
                <w:i w:val="0"/>
                <w:color w:val="1A1A1A"/>
                <w:sz w:val="18"/>
              </w:rPr>
              <w:t>8 Stunden mehr</w:t>
            </w:r>
          </w:p>
        </w:tc>
        <w:tc>
          <w:tcPr>
            <w:tcW w:type="dxa" w:w="3175"/>
            <w:shd w:val="clear" w:color="auto" w:fill="F3EFE6"/>
          </w:tcPr>
          <w:p>
            <w:pPr>
              <w:spacing w:after="0" w:before="0"/>
            </w:pPr>
            <w:r/>
            <w:r>
              <w:rPr>
                <w:b w:val="0"/>
                <w:i w:val="0"/>
                <w:color w:val="1A1A1A"/>
                <w:sz w:val="18"/>
              </w:rPr>
              <w:t>jährlich, ohne die Zeit der Auditoren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stellt Honorare und Stunden nebeneinander und verrechnet sie nicht. Das kombinierte Audit spart nach der Annahme € 2.100 im ersten Jahr, die Integration im Haus jedes Jahr rund siebzig Stunden. Ein Teil davon ist Zeit des Bankettleiters, der sonst dasselbe zum fünften Mal erzählt hätte. Über die Wirksamkeit des Systems sagt keine dieser Zahlen etwas.</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Anwendungsbereich dokumentiert, nicht irreführend (4.3)</w:t>
            </w:r>
          </w:p>
        </w:tc>
        <w:tc>
          <w:tcPr>
            <w:tcW w:type="dxa" w:w="3175"/>
          </w:tcPr>
          <w:p>
            <w:pPr>
              <w:spacing w:after="0" w:before="0"/>
            </w:pPr>
            <w:r/>
            <w:r>
              <w:rPr>
                <w:b w:val="0"/>
                <w:i w:val="0"/>
                <w:color w:val="1A1A1A"/>
                <w:sz w:val="18"/>
              </w:rPr>
              <w:t>ein Blatt mit dem Bereich je Norm</w:t>
            </w:r>
          </w:p>
        </w:tc>
        <w:tc>
          <w:tcPr>
            <w:tcW w:type="dxa" w:w="3175"/>
          </w:tcPr>
          <w:p>
            <w:pPr>
              <w:spacing w:after="0" w:before="0"/>
            </w:pPr>
            <w:r/>
            <w:r>
              <w:rPr>
                <w:b w:val="0"/>
                <w:i w:val="0"/>
                <w:color w:val="1A1A1A"/>
                <w:sz w:val="18"/>
              </w:rPr>
              <w:t>Methode: drei Spalten auf einer Seite</w:t>
            </w:r>
          </w:p>
        </w:tc>
      </w:tr>
      <w:tr>
        <w:trPr>
          <w:cantSplit w:val="true"/>
        </w:trPr>
        <w:tc>
          <w:tcPr>
            <w:tcW w:type="dxa" w:w="3288"/>
            <w:shd w:val="clear" w:color="auto" w:fill="F3EFE6"/>
          </w:tcPr>
          <w:p>
            <w:pPr>
              <w:spacing w:after="0" w:before="0"/>
            </w:pPr>
            <w:r/>
            <w:r>
              <w:rPr>
                <w:b w:val="0"/>
                <w:i w:val="0"/>
                <w:color w:val="1A1A1A"/>
                <w:sz w:val="18"/>
              </w:rPr>
              <w:t>Leitbild mit den Grundsätzen; Politik mit Verweis, datiert, unterzeichnet (4.5, 5.2)</w:t>
            </w:r>
          </w:p>
        </w:tc>
        <w:tc>
          <w:tcPr>
            <w:tcW w:type="dxa" w:w="3175"/>
            <w:shd w:val="clear" w:color="auto" w:fill="F3EFE6"/>
          </w:tcPr>
          <w:p>
            <w:pPr>
              <w:spacing w:after="0" w:before="0"/>
            </w:pPr>
            <w:r/>
            <w:r>
              <w:rPr>
                <w:b w:val="0"/>
                <w:i w:val="0"/>
                <w:color w:val="1A1A1A"/>
                <w:sz w:val="18"/>
              </w:rPr>
              <w:t>eine Politik für alle drei Normen</w:t>
            </w:r>
          </w:p>
        </w:tc>
        <w:tc>
          <w:tcPr>
            <w:tcW w:type="dxa" w:w="3175"/>
            <w:shd w:val="clear" w:color="auto" w:fill="F3EFE6"/>
          </w:tcPr>
          <w:p>
            <w:pPr>
              <w:spacing w:after="0" w:before="0"/>
            </w:pPr>
            <w:r/>
            <w:r>
              <w:rPr>
                <w:b w:val="0"/>
                <w:i w:val="0"/>
                <w:color w:val="1A1A1A"/>
                <w:sz w:val="18"/>
              </w:rPr>
              <w:t>Methode: eine Politik statt drei Fassungen</w:t>
            </w:r>
          </w:p>
        </w:tc>
      </w:tr>
      <w:tr>
        <w:trPr>
          <w:cantSplit w:val="true"/>
        </w:trPr>
        <w:tc>
          <w:tcPr>
            <w:tcW w:type="dxa" w:w="3288"/>
          </w:tcPr>
          <w:p>
            <w:pPr>
              <w:spacing w:after="0" w:before="0"/>
            </w:pPr>
            <w:r/>
            <w:r>
              <w:rPr>
                <w:b w:val="0"/>
                <w:i w:val="0"/>
                <w:color w:val="1A1A1A"/>
                <w:sz w:val="18"/>
              </w:rPr>
              <w:t>Themen identifizieren und bewerten, auch beeinflussbare (6.1.2)</w:t>
            </w:r>
          </w:p>
        </w:tc>
        <w:tc>
          <w:tcPr>
            <w:tcW w:type="dxa" w:w="3175"/>
          </w:tcPr>
          <w:p>
            <w:pPr>
              <w:spacing w:after="0" w:before="0"/>
            </w:pPr>
            <w:r/>
            <w:r>
              <w:rPr>
                <w:b w:val="0"/>
                <w:i w:val="0"/>
                <w:color w:val="1A1A1A"/>
                <w:sz w:val="18"/>
              </w:rPr>
              <w:t>gemeinsames Register mit Spalten für Umweltaspekte und weitere Themen</w:t>
            </w:r>
          </w:p>
        </w:tc>
        <w:tc>
          <w:tcPr>
            <w:tcW w:type="dxa" w:w="3175"/>
          </w:tcPr>
          <w:p>
            <w:pPr>
              <w:spacing w:after="0" w:before="0"/>
            </w:pPr>
            <w:r/>
            <w:r>
              <w:rPr>
                <w:b w:val="0"/>
                <w:i w:val="0"/>
                <w:color w:val="1A1A1A"/>
                <w:sz w:val="18"/>
              </w:rPr>
              <w:t>Anhang C, Tabelle C.1</w:t>
            </w:r>
          </w:p>
        </w:tc>
      </w:tr>
      <w:tr>
        <w:trPr>
          <w:cantSplit w:val="true"/>
        </w:trPr>
        <w:tc>
          <w:tcPr>
            <w:tcW w:type="dxa" w:w="3288"/>
            <w:shd w:val="clear" w:color="auto" w:fill="F3EFE6"/>
          </w:tcPr>
          <w:p>
            <w:pPr>
              <w:spacing w:after="0" w:before="0"/>
            </w:pPr>
            <w:r/>
            <w:r>
              <w:rPr>
                <w:b w:val="0"/>
                <w:i w:val="0"/>
                <w:color w:val="1A1A1A"/>
                <w:sz w:val="18"/>
              </w:rPr>
              <w:t>Kriterien für Lieferanten; Nachhaltigkeit bei der Auswahl (8.3)</w:t>
            </w:r>
          </w:p>
        </w:tc>
        <w:tc>
          <w:tcPr>
            <w:tcW w:type="dxa" w:w="3175"/>
            <w:shd w:val="clear" w:color="auto" w:fill="F3EFE6"/>
          </w:tcPr>
          <w:p>
            <w:pPr>
              <w:spacing w:after="0" w:before="0"/>
            </w:pPr>
            <w:r/>
            <w:r>
              <w:rPr>
                <w:b w:val="0"/>
                <w:i w:val="0"/>
                <w:color w:val="1A1A1A"/>
                <w:sz w:val="18"/>
              </w:rPr>
              <w:t>ein Bewertungsbogen mit Nachhaltigkeitskriterien</w:t>
            </w:r>
          </w:p>
        </w:tc>
        <w:tc>
          <w:tcPr>
            <w:tcW w:type="dxa" w:w="3175"/>
            <w:shd w:val="clear" w:color="auto" w:fill="F3EFE6"/>
          </w:tcPr>
          <w:p>
            <w:pPr>
              <w:spacing w:after="0" w:before="0"/>
            </w:pPr>
            <w:r/>
            <w:r>
              <w:rPr>
                <w:b w:val="0"/>
                <w:i w:val="0"/>
                <w:color w:val="1A1A1A"/>
                <w:sz w:val="18"/>
              </w:rPr>
              <w:t>Anhang B; ISO 20400</w:t>
            </w:r>
          </w:p>
        </w:tc>
      </w:tr>
      <w:tr>
        <w:trPr>
          <w:cantSplit w:val="true"/>
        </w:trPr>
        <w:tc>
          <w:tcPr>
            <w:tcW w:type="dxa" w:w="3288"/>
          </w:tcPr>
          <w:p>
            <w:pPr>
              <w:spacing w:after="0" w:before="0"/>
            </w:pPr>
            <w:r/>
            <w:r>
              <w:rPr>
                <w:b w:val="0"/>
                <w:i w:val="0"/>
                <w:color w:val="1A1A1A"/>
                <w:sz w:val="18"/>
              </w:rPr>
              <w:t>Interne Audits in geplanten Abständen (9.2)</w:t>
            </w:r>
          </w:p>
        </w:tc>
        <w:tc>
          <w:tcPr>
            <w:tcW w:type="dxa" w:w="3175"/>
          </w:tcPr>
          <w:p>
            <w:pPr>
              <w:spacing w:after="0" w:before="0"/>
            </w:pPr>
            <w:r/>
            <w:r>
              <w:rPr>
                <w:b w:val="0"/>
                <w:i w:val="0"/>
                <w:color w:val="1A1A1A"/>
                <w:sz w:val="18"/>
              </w:rPr>
              <w:t>ein Programm für drei Normen</w:t>
            </w:r>
          </w:p>
        </w:tc>
        <w:tc>
          <w:tcPr>
            <w:tcW w:type="dxa" w:w="3175"/>
          </w:tcPr>
          <w:p>
            <w:pPr>
              <w:spacing w:after="0" w:before="0"/>
            </w:pPr>
            <w:r/>
            <w:r>
              <w:rPr>
                <w:b w:val="0"/>
                <w:i w:val="0"/>
                <w:color w:val="1A1A1A"/>
                <w:sz w:val="18"/>
              </w:rPr>
              <w:t>ISO 19011:2026 als Leitfaden für Audits von Managementsystemen</w:t>
            </w:r>
          </w:p>
        </w:tc>
      </w:tr>
      <w:tr>
        <w:trPr>
          <w:cantSplit w:val="true"/>
        </w:trPr>
        <w:tc>
          <w:tcPr>
            <w:tcW w:type="dxa" w:w="3288"/>
            <w:shd w:val="clear" w:color="auto" w:fill="F3EFE6"/>
          </w:tcPr>
          <w:p>
            <w:pPr>
              <w:spacing w:after="0" w:before="0"/>
            </w:pPr>
            <w:r/>
            <w:r>
              <w:rPr>
                <w:b w:val="0"/>
                <w:i w:val="0"/>
                <w:color w:val="1A1A1A"/>
                <w:sz w:val="18"/>
              </w:rPr>
              <w:t>Managementbewertung mit Bewertung gegen die Leitprinzipien (9.3.2, 9.3.4)</w:t>
            </w:r>
          </w:p>
        </w:tc>
        <w:tc>
          <w:tcPr>
            <w:tcW w:type="dxa" w:w="3175"/>
            <w:shd w:val="clear" w:color="auto" w:fill="F3EFE6"/>
          </w:tcPr>
          <w:p>
            <w:pPr>
              <w:spacing w:after="0" w:before="0"/>
            </w:pPr>
            <w:r/>
            <w:r>
              <w:rPr>
                <w:b w:val="0"/>
                <w:i w:val="0"/>
                <w:color w:val="1A1A1A"/>
                <w:sz w:val="18"/>
              </w:rPr>
              <w:t>eine Bewertung im Oktober mit eigenem Teil</w:t>
            </w:r>
          </w:p>
        </w:tc>
        <w:tc>
          <w:tcPr>
            <w:tcW w:type="dxa" w:w="3175"/>
            <w:shd w:val="clear" w:color="auto" w:fill="F3EFE6"/>
          </w:tcPr>
          <w:p>
            <w:pPr>
              <w:spacing w:after="0" w:before="0"/>
            </w:pPr>
            <w:r/>
            <w:r>
              <w:rPr>
                <w:b w:val="0"/>
                <w:i w:val="0"/>
                <w:color w:val="1A1A1A"/>
                <w:sz w:val="18"/>
              </w:rPr>
              <w:t>Reifegradmatrix (Tabelle A.5)</w:t>
            </w:r>
          </w:p>
        </w:tc>
      </w:tr>
    </w:tbl>
    <w:p>
      <w:pPr>
        <w:spacing w:after="40"/>
      </w:pPr>
    </w:p>
    <w:p>
      <w:pPr>
        <w:pStyle w:val="Heading2"/>
      </w:pPr>
      <w:r>
        <w:t>DACH-Anker: Akkreditierung, verwandte Systeme und Werbung</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Akkreditierung ISO 9001 und ISO 14001</w:t>
            </w:r>
          </w:p>
        </w:tc>
        <w:tc>
          <w:tcPr>
            <w:tcW w:type="dxa" w:w="2721"/>
          </w:tcPr>
          <w:p>
            <w:pPr>
              <w:spacing w:after="0" w:before="0"/>
            </w:pPr>
            <w:r/>
            <w:r>
              <w:rPr>
                <w:b w:val="0"/>
                <w:i w:val="0"/>
                <w:color w:val="1A1A1A"/>
                <w:sz w:val="17"/>
              </w:rPr>
              <w:t>durch die DAkkS nach ISO/IEC 17021-1</w:t>
            </w:r>
          </w:p>
        </w:tc>
        <w:tc>
          <w:tcPr>
            <w:tcW w:type="dxa" w:w="2721"/>
          </w:tcPr>
          <w:p>
            <w:pPr>
              <w:spacing w:after="0" w:before="0"/>
            </w:pPr>
            <w:r/>
            <w:r>
              <w:rPr>
                <w:b w:val="0"/>
                <w:i w:val="0"/>
                <w:color w:val="1A1A1A"/>
                <w:sz w:val="17"/>
              </w:rPr>
              <w:t>durch Akkreditierung Austria</w:t>
            </w:r>
          </w:p>
        </w:tc>
        <w:tc>
          <w:tcPr>
            <w:tcW w:type="dxa" w:w="2721"/>
          </w:tcPr>
          <w:p>
            <w:pPr>
              <w:spacing w:after="0" w:before="0"/>
            </w:pPr>
            <w:r/>
            <w:r>
              <w:rPr>
                <w:b w:val="0"/>
                <w:i w:val="0"/>
                <w:color w:val="1A1A1A"/>
                <w:sz w:val="17"/>
              </w:rPr>
              <w:t>durch die SAS, Auftritt über das SECO</w:t>
            </w:r>
          </w:p>
        </w:tc>
      </w:tr>
      <w:tr>
        <w:trPr>
          <w:cantSplit w:val="true"/>
        </w:trPr>
        <w:tc>
          <w:tcPr>
            <w:tcW w:type="dxa" w:w="1474"/>
            <w:shd w:val="clear" w:color="auto" w:fill="F3EFE6"/>
          </w:tcPr>
          <w:p>
            <w:pPr>
              <w:spacing w:after="0" w:before="0"/>
            </w:pPr>
            <w:r/>
            <w:r>
              <w:rPr>
                <w:b w:val="0"/>
                <w:i w:val="0"/>
                <w:color w:val="1A1A1A"/>
                <w:sz w:val="17"/>
              </w:rPr>
              <w:t>Akkreditierung ISO 20121</w:t>
            </w:r>
          </w:p>
        </w:tc>
        <w:tc>
          <w:tcPr>
            <w:tcW w:type="dxa" w:w="2721"/>
            <w:shd w:val="clear" w:color="auto" w:fill="F3EFE6"/>
          </w:tcPr>
          <w:p>
            <w:pPr>
              <w:spacing w:after="0" w:before="0"/>
            </w:pPr>
            <w:r/>
            <w:r>
              <w:rPr>
                <w:b w:val="0"/>
                <w:i w:val="0"/>
                <w:color w:val="1A1A1A"/>
                <w:sz w:val="17"/>
              </w:rPr>
              <w:t>Antrag bei der DAkkS; Entscheidung stand im September 2026 aus</w:t>
            </w:r>
          </w:p>
        </w:tc>
        <w:tc>
          <w:tcPr>
            <w:tcW w:type="dxa" w:w="2721"/>
            <w:shd w:val="clear" w:color="auto" w:fill="F3EFE6"/>
          </w:tcPr>
          <w:p>
            <w:pPr>
              <w:spacing w:after="0" w:before="0"/>
            </w:pPr>
            <w:r/>
            <w:r>
              <w:rPr>
                <w:b w:val="0"/>
                <w:i w:val="0"/>
                <w:color w:val="1A1A1A"/>
                <w:sz w:val="17"/>
              </w:rPr>
              <w:t>bis Redaktionsschluss keine nachgewiesen</w:t>
            </w:r>
          </w:p>
        </w:tc>
        <w:tc>
          <w:tcPr>
            <w:tcW w:type="dxa" w:w="2721"/>
            <w:shd w:val="clear" w:color="auto" w:fill="F3EFE6"/>
          </w:tcPr>
          <w:p>
            <w:pPr>
              <w:spacing w:after="0" w:before="0"/>
            </w:pPr>
            <w:r/>
            <w:r>
              <w:rPr>
                <w:b w:val="0"/>
                <w:i w:val="0"/>
                <w:color w:val="1A1A1A"/>
                <w:sz w:val="17"/>
              </w:rPr>
              <w:t>bis Redaktionsschluss keine nachgewiesen</w:t>
            </w:r>
          </w:p>
        </w:tc>
      </w:tr>
      <w:tr>
        <w:trPr>
          <w:cantSplit w:val="true"/>
        </w:trPr>
        <w:tc>
          <w:tcPr>
            <w:tcW w:type="dxa" w:w="1474"/>
          </w:tcPr>
          <w:p>
            <w:pPr>
              <w:spacing w:after="0" w:before="0"/>
            </w:pPr>
            <w:r/>
            <w:r>
              <w:rPr>
                <w:b w:val="0"/>
                <w:i w:val="0"/>
                <w:color w:val="1A1A1A"/>
                <w:sz w:val="17"/>
              </w:rPr>
              <w:t>Auditzeit</w:t>
            </w:r>
          </w:p>
        </w:tc>
        <w:tc>
          <w:tcPr>
            <w:tcW w:type="dxa" w:w="2721"/>
          </w:tcPr>
          <w:p>
            <w:pPr>
              <w:spacing w:after="0" w:before="0"/>
            </w:pPr>
            <w:r/>
            <w:r>
              <w:rPr>
                <w:b w:val="0"/>
                <w:i w:val="0"/>
                <w:color w:val="1A1A1A"/>
                <w:sz w:val="17"/>
              </w:rPr>
              <w:t>IAF MD 5 für Qualität, Umwelt, Arbeitsschutz; nicht für ISO 20121</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ebenso</w:t>
            </w:r>
          </w:p>
        </w:tc>
      </w:tr>
      <w:tr>
        <w:trPr>
          <w:cantSplit w:val="true"/>
        </w:trPr>
        <w:tc>
          <w:tcPr>
            <w:tcW w:type="dxa" w:w="1474"/>
            <w:shd w:val="clear" w:color="auto" w:fill="F3EFE6"/>
          </w:tcPr>
          <w:p>
            <w:pPr>
              <w:spacing w:after="0" w:before="0"/>
            </w:pPr>
            <w:r/>
            <w:r>
              <w:rPr>
                <w:b w:val="0"/>
                <w:i w:val="0"/>
                <w:color w:val="1A1A1A"/>
                <w:sz w:val="17"/>
              </w:rPr>
              <w:t>EMAS und verwandte Zeichen</w:t>
            </w:r>
          </w:p>
        </w:tc>
        <w:tc>
          <w:tcPr>
            <w:tcW w:type="dxa" w:w="2721"/>
            <w:shd w:val="clear" w:color="auto" w:fill="F3EFE6"/>
          </w:tcPr>
          <w:p>
            <w:pPr>
              <w:spacing w:after="0" w:before="0"/>
            </w:pPr>
            <w:r/>
            <w:r>
              <w:rPr>
                <w:b w:val="0"/>
                <w:i w:val="0"/>
                <w:color w:val="1A1A1A"/>
                <w:sz w:val="17"/>
              </w:rPr>
              <w:t>EMAS: Umweltgutachter statt Zertifizierungsstelle (Umweltauditgesetz)</w:t>
            </w:r>
          </w:p>
        </w:tc>
        <w:tc>
          <w:tcPr>
            <w:tcW w:type="dxa" w:w="2721"/>
            <w:shd w:val="clear" w:color="auto" w:fill="F3EFE6"/>
          </w:tcPr>
          <w:p>
            <w:pPr>
              <w:spacing w:after="0" w:before="0"/>
            </w:pPr>
            <w:r/>
            <w:r>
              <w:rPr>
                <w:b w:val="0"/>
                <w:i w:val="0"/>
                <w:color w:val="1A1A1A"/>
                <w:sz w:val="17"/>
              </w:rPr>
              <w:t>EMAS (Umweltmanagementgesetz); Umweltzeichen UZ 62 für Green Meetings und Green Events, R6.0 für Veranstaltungen ab 1. Jänner 2027</w:t>
            </w:r>
          </w:p>
        </w:tc>
        <w:tc>
          <w:tcPr>
            <w:tcW w:type="dxa" w:w="2721"/>
            <w:shd w:val="clear" w:color="auto" w:fill="F3EFE6"/>
          </w:tcPr>
          <w:p>
            <w:pPr>
              <w:spacing w:after="0" w:before="0"/>
            </w:pPr>
            <w:r/>
            <w:r>
              <w:rPr>
                <w:b w:val="0"/>
                <w:i w:val="0"/>
                <w:color w:val="1A1A1A"/>
                <w:sz w:val="17"/>
              </w:rPr>
              <w:t>EMAS-Verordnung gilt nicht</w:t>
            </w:r>
          </w:p>
        </w:tc>
      </w:tr>
      <w:tr>
        <w:trPr>
          <w:cantSplit w:val="true"/>
        </w:trPr>
        <w:tc>
          <w:tcPr>
            <w:tcW w:type="dxa" w:w="1474"/>
          </w:tcPr>
          <w:p>
            <w:pPr>
              <w:spacing w:after="0" w:before="0"/>
            </w:pPr>
            <w:r/>
            <w:r>
              <w:rPr>
                <w:b w:val="0"/>
                <w:i w:val="0"/>
                <w:color w:val="1A1A1A"/>
                <w:sz w:val="17"/>
              </w:rPr>
              <w:t>Werbung mit mehreren Zertifikaten</w:t>
            </w:r>
          </w:p>
        </w:tc>
        <w:tc>
          <w:tcPr>
            <w:tcW w:type="dxa" w:w="2721"/>
          </w:tcPr>
          <w:p>
            <w:pPr>
              <w:spacing w:after="0" w:before="0"/>
            </w:pPr>
            <w:r/>
            <w:r>
              <w:rPr>
                <w:b w:val="0"/>
                <w:i w:val="0"/>
                <w:color w:val="1A1A1A"/>
                <w:sz w:val="17"/>
              </w:rPr>
              <w:t>Irreführungsverbot (§ 5 UWG); gegenüber Verbrauchern Anhang Nr. 2a und 4b ab 27. September 2026</w:t>
            </w:r>
          </w:p>
        </w:tc>
        <w:tc>
          <w:tcPr>
            <w:tcW w:type="dxa" w:w="2721"/>
          </w:tcPr>
          <w:p>
            <w:pPr>
              <w:spacing w:after="0" w:before="0"/>
            </w:pPr>
            <w:r/>
            <w:r>
              <w:rPr>
                <w:b w:val="0"/>
                <w:i w:val="0"/>
                <w:color w:val="1A1A1A"/>
                <w:sz w:val="17"/>
              </w:rPr>
              <w:t>UWG; gegenüber Verbrauchern Anhang Z 2a und 4b ab 27. September 2026</w:t>
            </w:r>
          </w:p>
        </w:tc>
        <w:tc>
          <w:tcPr>
            <w:tcW w:type="dxa" w:w="2721"/>
          </w:tcPr>
          <w:p>
            <w:pPr>
              <w:spacing w:after="0" w:before="0"/>
            </w:pPr>
            <w:r/>
            <w:r>
              <w:rPr>
                <w:b w:val="0"/>
                <w:i w:val="0"/>
                <w:color w:val="1A1A1A"/>
                <w:sz w:val="17"/>
              </w:rPr>
              <w:t>Art. 3 Abs. 1 lit. b UWG; Klimaaussagen lit. x</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4.12.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4.12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4.12 — Die ISO 20121 in ein bestehendes System einbauen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