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4.14</w:t>
      </w:r>
    </w:p>
    <w:p>
      <w:pPr>
        <w:pStyle w:val="Heading1"/>
      </w:pPr>
      <w:r>
        <w:t>Mit dem Auditor arbeiten und begründet widersprechen</w:t>
      </w:r>
    </w:p>
    <w:p>
      <w:pPr>
        <w:spacing w:after="0"/>
      </w:pPr>
      <w:r>
        <w:rPr>
          <w:b w:val="0"/>
          <w:i/>
          <w:color w:val="5A5A5A"/>
        </w:rPr>
        <w:t>Abschnitt 4.14 · Auditor und Haus: Unparteilichkeit, Grenzen und Beschwerde</w:t>
      </w:r>
    </w:p>
    <w:p>
      <w:pPr>
        <w:spacing w:after="160"/>
      </w:pPr>
      <w:r>
        <w:rPr>
          <w:b w:val="0"/>
          <w:i w:val="0"/>
          <w:color w:val="5A5A5A"/>
          <w:sz w:val="18"/>
        </w:rPr>
        <w:t>Modellfall im Buch: Schaffhausen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Was erwarten Sie von dem Menschen, den Ihr Haus für zwei Tage Prüfung bezahlt: einen Rat, ein Urteil oder einen Befund? Und wenn Sie einen Befund für falsch halten: Kennen Sie den Weg, auf dem Sie widersprechen, und haben Sie die Nachweise dafür in der Hand?</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Grenzen und Rechte auf beiden Seiten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Thema</w:t>
            </w:r>
          </w:p>
        </w:tc>
        <w:tc>
          <w:tcPr>
            <w:tcW w:type="dxa" w:w="3213"/>
            <w:shd w:val="clear" w:color="auto" w:fill="8C5A2B"/>
          </w:tcPr>
          <w:p>
            <w:pPr>
              <w:spacing w:after="0" w:before="0"/>
            </w:pPr>
            <w:r/>
            <w:r>
              <w:rPr>
                <w:b/>
                <w:i w:val="0"/>
                <w:color w:val="FFFFFF"/>
                <w:sz w:val="18"/>
              </w:rPr>
              <w:t>Das Haus</w:t>
            </w:r>
          </w:p>
        </w:tc>
        <w:tc>
          <w:tcPr>
            <w:tcW w:type="dxa" w:w="3213"/>
            <w:shd w:val="clear" w:color="auto" w:fill="8C5A2B"/>
          </w:tcPr>
          <w:p>
            <w:pPr>
              <w:spacing w:after="0" w:before="0"/>
            </w:pPr>
            <w:r/>
            <w:r>
              <w:rPr>
                <w:b/>
                <w:i w:val="0"/>
                <w:color w:val="FFFFFF"/>
                <w:sz w:val="18"/>
              </w:rPr>
              <w:t>Der Auditor und die Stelle</w:t>
            </w:r>
          </w:p>
        </w:tc>
      </w:tr>
      <w:tr>
        <w:trPr>
          <w:cantSplit w:val="true"/>
        </w:trPr>
        <w:tc>
          <w:tcPr>
            <w:tcW w:type="dxa" w:w="3213"/>
          </w:tcPr>
          <w:p>
            <w:pPr>
              <w:spacing w:after="0" w:before="0"/>
            </w:pPr>
            <w:r/>
            <w:r>
              <w:rPr>
                <w:b w:val="0"/>
                <w:i w:val="0"/>
                <w:color w:val="1A1A1A"/>
                <w:sz w:val="18"/>
              </w:rPr>
              <w:t>Rat</w:t>
            </w:r>
          </w:p>
        </w:tc>
        <w:tc>
          <w:tcPr>
            <w:tcW w:type="dxa" w:w="3213"/>
          </w:tcPr>
          <w:p>
            <w:pPr>
              <w:spacing w:after="0" w:before="0"/>
            </w:pPr>
            <w:r/>
            <w:r>
              <w:rPr>
                <w:b w:val="0"/>
                <w:i w:val="0"/>
                <w:color w:val="1A1A1A"/>
                <w:sz w:val="18"/>
              </w:rPr>
              <w:t>bittet nicht um eine Lösung</w:t>
            </w:r>
          </w:p>
        </w:tc>
        <w:tc>
          <w:tcPr>
            <w:tcW w:type="dxa" w:w="3213"/>
          </w:tcPr>
          <w:p>
            <w:pPr>
              <w:spacing w:after="0" w:before="0"/>
            </w:pPr>
            <w:r/>
            <w:r>
              <w:rPr>
                <w:b w:val="0"/>
                <w:i w:val="0"/>
                <w:color w:val="1A1A1A"/>
                <w:sz w:val="18"/>
              </w:rPr>
              <w:t>nennen weder Ursache noch Lösung</w:t>
            </w:r>
          </w:p>
        </w:tc>
      </w:tr>
      <w:tr>
        <w:trPr>
          <w:cantSplit w:val="true"/>
        </w:trPr>
        <w:tc>
          <w:tcPr>
            <w:tcW w:type="dxa" w:w="3213"/>
            <w:shd w:val="clear" w:color="auto" w:fill="F3EFE6"/>
          </w:tcPr>
          <w:p>
            <w:pPr>
              <w:spacing w:after="0" w:before="0"/>
            </w:pPr>
            <w:r/>
            <w:r>
              <w:rPr>
                <w:b w:val="0"/>
                <w:i w:val="0"/>
                <w:color w:val="1A1A1A"/>
                <w:sz w:val="18"/>
              </w:rPr>
              <w:t>Auswahl des Auditors</w:t>
            </w:r>
          </w:p>
        </w:tc>
        <w:tc>
          <w:tcPr>
            <w:tcW w:type="dxa" w:w="3213"/>
            <w:shd w:val="clear" w:color="auto" w:fill="F3EFE6"/>
          </w:tcPr>
          <w:p>
            <w:pPr>
              <w:spacing w:after="0" w:before="0"/>
            </w:pPr>
            <w:r/>
            <w:r>
              <w:rPr>
                <w:b w:val="0"/>
                <w:i w:val="0"/>
                <w:color w:val="1A1A1A"/>
                <w:sz w:val="18"/>
              </w:rPr>
              <w:t>kann einem bestimmten Auditor begründet widersprechen; wählt nicht aus</w:t>
            </w:r>
          </w:p>
        </w:tc>
        <w:tc>
          <w:tcPr>
            <w:tcW w:type="dxa" w:w="3213"/>
            <w:shd w:val="clear" w:color="auto" w:fill="F3EFE6"/>
          </w:tcPr>
          <w:p>
            <w:pPr>
              <w:spacing w:after="0" w:before="0"/>
            </w:pPr>
            <w:r/>
            <w:r>
              <w:rPr>
                <w:b w:val="0"/>
                <w:i w:val="0"/>
                <w:color w:val="1A1A1A"/>
                <w:sz w:val="18"/>
              </w:rPr>
              <w:t>nennen das Team rechtzeitig; setzen niemanden ein, der das Haus beraten hat</w:t>
            </w:r>
          </w:p>
        </w:tc>
      </w:tr>
      <w:tr>
        <w:trPr>
          <w:cantSplit w:val="true"/>
        </w:trPr>
        <w:tc>
          <w:tcPr>
            <w:tcW w:type="dxa" w:w="3213"/>
          </w:tcPr>
          <w:p>
            <w:pPr>
              <w:spacing w:after="0" w:before="0"/>
            </w:pPr>
            <w:r/>
            <w:r>
              <w:rPr>
                <w:b w:val="0"/>
                <w:i w:val="0"/>
                <w:color w:val="1A1A1A"/>
                <w:sz w:val="18"/>
              </w:rPr>
              <w:t>Beratung</w:t>
            </w:r>
          </w:p>
        </w:tc>
        <w:tc>
          <w:tcPr>
            <w:tcW w:type="dxa" w:w="3213"/>
          </w:tcPr>
          <w:p>
            <w:pPr>
              <w:spacing w:after="0" w:before="0"/>
            </w:pPr>
            <w:r/>
            <w:r>
              <w:rPr>
                <w:b w:val="0"/>
                <w:i w:val="0"/>
                <w:color w:val="1A1A1A"/>
                <w:sz w:val="18"/>
              </w:rPr>
              <w:t>darf Berater beauftragen, aber nicht für die Zertifizierung vermitteln lassen</w:t>
            </w:r>
          </w:p>
        </w:tc>
        <w:tc>
          <w:tcPr>
            <w:tcW w:type="dxa" w:w="3213"/>
          </w:tcPr>
          <w:p>
            <w:pPr>
              <w:spacing w:after="0" w:before="0"/>
            </w:pPr>
            <w:r/>
            <w:r>
              <w:rPr>
                <w:b w:val="0"/>
                <w:i w:val="0"/>
                <w:color w:val="1A1A1A"/>
                <w:sz w:val="18"/>
              </w:rPr>
              <w:t>beraten nicht; verbinden Zertifizierung nicht mit Beratung</w:t>
            </w:r>
          </w:p>
        </w:tc>
      </w:tr>
      <w:tr>
        <w:trPr>
          <w:cantSplit w:val="true"/>
        </w:trPr>
        <w:tc>
          <w:tcPr>
            <w:tcW w:type="dxa" w:w="3213"/>
            <w:shd w:val="clear" w:color="auto" w:fill="F3EFE6"/>
          </w:tcPr>
          <w:p>
            <w:pPr>
              <w:spacing w:after="0" w:before="0"/>
            </w:pPr>
            <w:r/>
            <w:r>
              <w:rPr>
                <w:b w:val="0"/>
                <w:i w:val="0"/>
                <w:color w:val="1A1A1A"/>
                <w:sz w:val="18"/>
              </w:rPr>
              <w:t>Meinungsverschiedenheit</w:t>
            </w:r>
          </w:p>
        </w:tc>
        <w:tc>
          <w:tcPr>
            <w:tcW w:type="dxa" w:w="3213"/>
            <w:shd w:val="clear" w:color="auto" w:fill="F3EFE6"/>
          </w:tcPr>
          <w:p>
            <w:pPr>
              <w:spacing w:after="0" w:before="0"/>
            </w:pPr>
            <w:r/>
            <w:r>
              <w:rPr>
                <w:b w:val="0"/>
                <w:i w:val="0"/>
                <w:color w:val="1A1A1A"/>
                <w:sz w:val="18"/>
              </w:rPr>
              <w:t>widerspricht im Abschlussgespräch, mit Nachweisen</w:t>
            </w:r>
          </w:p>
        </w:tc>
        <w:tc>
          <w:tcPr>
            <w:tcW w:type="dxa" w:w="3213"/>
            <w:shd w:val="clear" w:color="auto" w:fill="F3EFE6"/>
          </w:tcPr>
          <w:p>
            <w:pPr>
              <w:spacing w:after="0" w:before="0"/>
            </w:pPr>
            <w:r/>
            <w:r>
              <w:rPr>
                <w:b w:val="0"/>
                <w:i w:val="0"/>
                <w:color w:val="1A1A1A"/>
                <w:sz w:val="18"/>
              </w:rPr>
              <w:t>halten Ungelöstes fest und leiten es weiter</w:t>
            </w:r>
          </w:p>
        </w:tc>
      </w:tr>
      <w:tr>
        <w:trPr>
          <w:cantSplit w:val="true"/>
        </w:trPr>
        <w:tc>
          <w:tcPr>
            <w:tcW w:type="dxa" w:w="3213"/>
          </w:tcPr>
          <w:p>
            <w:pPr>
              <w:spacing w:after="0" w:before="0"/>
            </w:pPr>
            <w:r/>
            <w:r>
              <w:rPr>
                <w:b w:val="0"/>
                <w:i w:val="0"/>
                <w:color w:val="1A1A1A"/>
                <w:sz w:val="18"/>
              </w:rPr>
              <w:t>Beschwerde und Einspruch</w:t>
            </w:r>
          </w:p>
        </w:tc>
        <w:tc>
          <w:tcPr>
            <w:tcW w:type="dxa" w:w="3213"/>
          </w:tcPr>
          <w:p>
            <w:pPr>
              <w:spacing w:after="0" w:before="0"/>
            </w:pPr>
            <w:r/>
            <w:r>
              <w:rPr>
                <w:b w:val="0"/>
                <w:i w:val="0"/>
                <w:color w:val="1A1A1A"/>
                <w:sz w:val="18"/>
              </w:rPr>
              <w:t>nutzt sie mit Nachweisen und Fristen</w:t>
            </w:r>
          </w:p>
        </w:tc>
        <w:tc>
          <w:tcPr>
            <w:tcW w:type="dxa" w:w="3213"/>
          </w:tcPr>
          <w:p>
            <w:pPr>
              <w:spacing w:after="0" w:before="0"/>
            </w:pPr>
            <w:r/>
            <w:r>
              <w:rPr>
                <w:b w:val="0"/>
                <w:i w:val="0"/>
                <w:color w:val="1A1A1A"/>
                <w:sz w:val="18"/>
              </w:rPr>
              <w:t>bearbeiten sie durch Unbeteiligte, ohne Nachteile für das Haus</w:t>
            </w:r>
          </w:p>
        </w:tc>
      </w:tr>
    </w:tbl>
    <w:p>
      <w:pPr>
        <w:spacing w:after="40"/>
      </w:pPr>
    </w:p>
    <w:p>
      <w:pPr>
        <w:pStyle w:val="Heading2"/>
      </w:pPr>
      <w:r>
        <w:t>Praktische Anwendung: mit dem Auditor arbeiten und begründet widersprechen in sieben Schritten</w:t>
      </w:r>
    </w:p>
    <w:p>
      <w:pPr>
        <w:tabs>
          <w:tab w:pos="340" w:val="left"/>
        </w:tabs>
        <w:ind w:left="340" w:hanging="340"/>
      </w:pPr>
      <w:r>
        <w:rPr>
          <w:b/>
          <w:color w:val="8C5A2B"/>
        </w:rPr>
        <w:t>1.</w:t>
        <w:tab/>
      </w:r>
      <w:r>
        <w:rPr>
          <w:b/>
        </w:rPr>
        <w:t>Den Auditor als Prüfer empfangen.</w:t>
      </w:r>
      <w:r>
        <w:t xml:space="preserve"> Erklären Sie den Abteilungen vor dem Audit, wer kommt und wozu: Er stellt fest, er berät nicht. Fragen nach Lösungen stellt das Haus sich selbst.</w:t>
      </w:r>
    </w:p>
    <w:p>
      <w:pPr>
        <w:tabs>
          <w:tab w:pos="340" w:val="left"/>
        </w:tabs>
        <w:ind w:left="340" w:hanging="340"/>
      </w:pPr>
      <w:r>
        <w:rPr>
          <w:b/>
          <w:color w:val="8C5A2B"/>
        </w:rPr>
        <w:t>2.</w:t>
        <w:tab/>
      </w:r>
      <w:r>
        <w:rPr>
          <w:b/>
        </w:rPr>
        <w:t>Das Team vorher ansehen.</w:t>
      </w:r>
      <w:r>
        <w:t xml:space="preserve"> Lesen Sie die Namen, die die Stelle nennt, und widersprechen Sie, wenn es einen Grund gibt, etwa eine frühere Beratung bei einem direkten Mitbewerber. Einen Wunschauditor gibt es nicht.</w:t>
      </w:r>
    </w:p>
    <w:p>
      <w:pPr>
        <w:tabs>
          <w:tab w:pos="340" w:val="left"/>
        </w:tabs>
        <w:ind w:left="340" w:hanging="340"/>
      </w:pPr>
      <w:r>
        <w:rPr>
          <w:b/>
          <w:color w:val="8C5A2B"/>
        </w:rPr>
        <w:t>3.</w:t>
        <w:tab/>
      </w:r>
      <w:r>
        <w:rPr>
          <w:b/>
        </w:rPr>
        <w:t>Nachweise auffindbar halten.</w:t>
      </w:r>
      <w:r>
        <w:t xml:space="preserve"> Jede Ablage hat eine Vertretung, und jeder Schlüssel ist während des Audits erreichbar. Was nicht gefunden wird, wenn es gebraucht wird, zählt nicht.</w:t>
      </w:r>
    </w:p>
    <w:p>
      <w:pPr>
        <w:tabs>
          <w:tab w:pos="340" w:val="left"/>
        </w:tabs>
        <w:ind w:left="340" w:hanging="340"/>
      </w:pPr>
      <w:r>
        <w:rPr>
          <w:b/>
          <w:color w:val="8C5A2B"/>
        </w:rPr>
        <w:t>4.</w:t>
        <w:tab/>
      </w:r>
      <w:r>
        <w:rPr>
          <w:b/>
        </w:rPr>
        <w:t>Im Abschlussgespräch widersprechen, nicht verhandeln.</w:t>
      </w:r>
      <w:r>
        <w:t xml:space="preserve"> Nennen Sie die Anforderung und den Nachweis, der fehlt, und bitten Sie, die abweichende Meinung ins Protokoll zu nehmen.</w:t>
      </w:r>
    </w:p>
    <w:p>
      <w:pPr>
        <w:tabs>
          <w:tab w:pos="340" w:val="left"/>
        </w:tabs>
        <w:ind w:left="340" w:hanging="340"/>
      </w:pPr>
      <w:r>
        <w:rPr>
          <w:b/>
          <w:color w:val="8C5A2B"/>
        </w:rPr>
        <w:t>5.</w:t>
        <w:tab/>
      </w:r>
      <w:r>
        <w:rPr>
          <w:b/>
        </w:rPr>
        <w:t>Beschwerde und Einspruch auseinanderhalten.</w:t>
      </w:r>
      <w:r>
        <w:t xml:space="preserve"> Eine Beschwerde betrifft ein Verhalten, ein Einspruch eine Entscheidung. Schreiben Sie beides getrennt, sachlich und mit Datum.</w:t>
      </w:r>
    </w:p>
    <w:p>
      <w:pPr>
        <w:tabs>
          <w:tab w:pos="340" w:val="left"/>
        </w:tabs>
        <w:ind w:left="340" w:hanging="340"/>
      </w:pPr>
      <w:r>
        <w:rPr>
          <w:b/>
          <w:color w:val="8C5A2B"/>
        </w:rPr>
        <w:t>6.</w:t>
        <w:tab/>
      </w:r>
      <w:r>
        <w:rPr>
          <w:b/>
        </w:rPr>
        <w:t>Den Einspruch als Gegenbefund bauen.</w:t>
      </w:r>
      <w:r>
        <w:t xml:space="preserve"> Er nennt Anforderung, Feststellung, Nachweise mit Ort und Datum, die Ursache der Lücke und den Antrag. Halten Sie die Frist der Stelle ein.</w:t>
      </w:r>
    </w:p>
    <w:p>
      <w:pPr>
        <w:tabs>
          <w:tab w:pos="340" w:val="left"/>
        </w:tabs>
        <w:ind w:left="340" w:hanging="340"/>
      </w:pPr>
      <w:r>
        <w:rPr>
          <w:b/>
          <w:color w:val="8C5A2B"/>
        </w:rPr>
        <w:t>7.</w:t>
        <w:tab/>
      </w:r>
      <w:r>
        <w:rPr>
          <w:b/>
        </w:rPr>
        <w:t>Berater, die Auditoren vermitteln, ablehnen und melden.</w:t>
      </w:r>
      <w:r>
        <w:t xml:space="preserve"> Ein Angebot, die Zertifizierung über Verbindungen zu beschleunigen, ist ein Risiko für das Zertifikat. Teilen Sie es der Stelle mit.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Den Auditor als Prüfer empfangen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Das Team vorher ansehen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Nachweise auffindbar halten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Im Abschlussgespräch widersprechen, nicht verhandeln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Beschwerde und Einspruch auseinanderhalten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Den Einspruch als Gegenbefund bauen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Berater, die Auditoren vermitteln, ablehnen und melden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Wissen alle Abteilungen, dass der Auditor prüft und nicht berät?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die Namen des Auditteams rechtzeitig erhalten und gelesen?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Sind alle Nachweise während des Audits auffindbar, auch bei Abwesenheit der zuständigen Person?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Führen wir jede Bewertung in einem Dokument, nach dem auch gearbeitet wird?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Kennen wir das Verfahren der Stelle für Beschwerden und Einsprüche mit seinen Fristen?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Unterscheiden wir zwischen Beschwerde über ein Verhalten und Einspruch gegen eine Entscheidung?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Stützt sich jeder Widerspruch auf eine Anforderung und einen Nachweis?</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Lehnen wir Angebote ab, die Zertifizierung über Verbindungen zu beschleunigen?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Vom Auditor einen Rat verlangen.</w:t>
      </w:r>
      <w:r>
        <w:t xml:space="preserve"> Er darf ihn nicht geben, und sonst prüfte er beim nächsten Mal seine eigene Lösung.</w:t>
      </w:r>
    </w:p>
    <w:p>
      <w:pPr>
        <w:tabs>
          <w:tab w:pos="340" w:val="left"/>
        </w:tabs>
        <w:ind w:left="340" w:hanging="340"/>
      </w:pPr>
      <w:r>
        <w:rPr>
          <w:color w:val="8C5A2B"/>
        </w:rPr>
        <w:t>–</w:t>
        <w:tab/>
      </w:r>
      <w:r>
        <w:rPr>
          <w:b/>
        </w:rPr>
        <w:t>Sich über Zurückhaltung beschweren.</w:t>
      </w:r>
      <w:r>
        <w:t xml:space="preserve"> Die Beschwerde trifft das Verhalten, das das Zertifikat glaubwürdig macht.</w:t>
      </w:r>
    </w:p>
    <w:p>
      <w:pPr>
        <w:tabs>
          <w:tab w:pos="340" w:val="left"/>
        </w:tabs>
        <w:ind w:left="340" w:hanging="340"/>
      </w:pPr>
      <w:r>
        <w:rPr>
          <w:color w:val="8C5A2B"/>
        </w:rPr>
        <w:t>–</w:t>
        <w:tab/>
      </w:r>
      <w:r>
        <w:rPr>
          <w:b/>
        </w:rPr>
        <w:t>Mit Worten widersprechen.</w:t>
      </w:r>
      <w:r>
        <w:t xml:space="preserve"> Ohne Nachweis bleibt der Widerspruch eine Meinung.</w:t>
      </w:r>
    </w:p>
    <w:p>
      <w:pPr>
        <w:tabs>
          <w:tab w:pos="340" w:val="left"/>
        </w:tabs>
        <w:ind w:left="340" w:hanging="340"/>
      </w:pPr>
      <w:r>
        <w:rPr>
          <w:color w:val="8C5A2B"/>
        </w:rPr>
        <w:t>–</w:t>
        <w:tab/>
      </w:r>
      <w:r>
        <w:rPr>
          <w:b/>
        </w:rPr>
        <w:t>Den Auditor überzeugen wollen.</w:t>
      </w:r>
      <w:r>
        <w:t xml:space="preserve"> Entschieden wird in der Stelle, von anderen.</w:t>
      </w:r>
    </w:p>
    <w:p>
      <w:pPr>
        <w:tabs>
          <w:tab w:pos="340" w:val="left"/>
        </w:tabs>
        <w:ind w:left="340" w:hanging="340"/>
      </w:pPr>
      <w:r>
        <w:rPr>
          <w:color w:val="8C5A2B"/>
        </w:rPr>
        <w:t>–</w:t>
        <w:tab/>
      </w:r>
      <w:r>
        <w:rPr>
          <w:b/>
        </w:rPr>
        <w:t>Einen Wunschauditor suchen.</w:t>
      </w:r>
      <w:r>
        <w:t xml:space="preserve"> Wer ihn über Verbindungen bekommt, entwertet sein eigenes Zertifikat.</w:t>
      </w:r>
    </w:p>
    <w:p>
      <w:pPr>
        <w:tabs>
          <w:tab w:pos="340" w:val="left"/>
        </w:tabs>
        <w:ind w:left="340" w:hanging="340"/>
      </w:pPr>
      <w:r>
        <w:rPr>
          <w:color w:val="8C5A2B"/>
        </w:rPr>
        <w:t>–</w:t>
        <w:tab/>
      </w:r>
      <w:r>
        <w:rPr>
          <w:b/>
        </w:rPr>
        <w:t>Aus Angst nicht widersprechen.</w:t>
      </w:r>
      <w:r>
        <w:t xml:space="preserve"> Einsprüche dürfen dem Haus keine Nachteile bringen.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Nachaudit vor Ort zur schweren Nichtkonformität: 1 Tag zu CHF 1.950</w:t>
            </w:r>
          </w:p>
        </w:tc>
        <w:tc>
          <w:tcPr>
            <w:tcW w:type="dxa" w:w="1474"/>
          </w:tcPr>
          <w:p>
            <w:pPr>
              <w:spacing w:after="0" w:before="0"/>
            </w:pPr>
            <w:r/>
            <w:r>
              <w:rPr>
                <w:b w:val="0"/>
                <w:i w:val="0"/>
                <w:color w:val="1A1A1A"/>
                <w:sz w:val="18"/>
              </w:rPr>
              <w:t>CHF 1.950</w:t>
            </w:r>
          </w:p>
        </w:tc>
        <w:tc>
          <w:tcPr>
            <w:tcW w:type="dxa" w:w="3175"/>
          </w:tcPr>
          <w:p>
            <w:pPr>
              <w:spacing w:after="0" w:before="0"/>
            </w:pPr>
            <w:r/>
            <w:r>
              <w:rPr>
                <w:b w:val="0"/>
                <w:i w:val="0"/>
                <w:color w:val="1A1A1A"/>
                <w:sz w:val="18"/>
              </w:rPr>
              <w:t>entfiel nach dem Einspruch</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Reisekosten des Auditors für das Nachaudit</w:t>
            </w:r>
          </w:p>
        </w:tc>
        <w:tc>
          <w:tcPr>
            <w:tcW w:type="dxa" w:w="1474"/>
            <w:shd w:val="clear" w:color="auto" w:fill="F3EFE6"/>
          </w:tcPr>
          <w:p>
            <w:pPr>
              <w:spacing w:after="0" w:before="0"/>
            </w:pPr>
            <w:r/>
            <w:r>
              <w:rPr>
                <w:b w:val="0"/>
                <w:i w:val="0"/>
                <w:color w:val="1A1A1A"/>
                <w:sz w:val="18"/>
              </w:rPr>
              <w:t>CHF 280</w:t>
            </w:r>
          </w:p>
        </w:tc>
        <w:tc>
          <w:tcPr>
            <w:tcW w:type="dxa" w:w="3175"/>
            <w:shd w:val="clear" w:color="auto" w:fill="F3EFE6"/>
          </w:tcPr>
          <w:p>
            <w:pPr>
              <w:spacing w:after="0" w:before="0"/>
            </w:pPr>
            <w:r/>
            <w:r>
              <w:rPr>
                <w:b w:val="0"/>
                <w:i w:val="0"/>
                <w:color w:val="1A1A1A"/>
                <w:sz w:val="18"/>
              </w:rPr>
              <w:t>entfielen ebenso</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Einspruch vorbereiten: Nachweise sammeln, ordnen, begründen</w:t>
            </w:r>
          </w:p>
        </w:tc>
        <w:tc>
          <w:tcPr>
            <w:tcW w:type="dxa" w:w="1474"/>
          </w:tcPr>
          <w:p>
            <w:pPr>
              <w:spacing w:after="0" w:before="0"/>
            </w:pPr>
            <w:r/>
            <w:r>
              <w:rPr>
                <w:b w:val="0"/>
                <w:i w:val="0"/>
                <w:color w:val="1A1A1A"/>
                <w:sz w:val="18"/>
              </w:rPr>
              <w:t>9 Stunden</w:t>
            </w:r>
          </w:p>
        </w:tc>
        <w:tc>
          <w:tcPr>
            <w:tcW w:type="dxa" w:w="3175"/>
          </w:tcPr>
          <w:p>
            <w:pPr>
              <w:spacing w:after="0" w:before="0"/>
            </w:pPr>
            <w:r/>
            <w:r>
              <w:rPr>
                <w:b w:val="0"/>
                <w:i w:val="0"/>
                <w:color w:val="1A1A1A"/>
                <w:sz w:val="18"/>
              </w:rPr>
              <w:t>Direktorin und Bankettleiter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Liste der Themen um die Terrasse ergänzen, Kriterien dokumentieren</w:t>
            </w:r>
          </w:p>
        </w:tc>
        <w:tc>
          <w:tcPr>
            <w:tcW w:type="dxa" w:w="1474"/>
            <w:shd w:val="clear" w:color="auto" w:fill="F3EFE6"/>
          </w:tcPr>
          <w:p>
            <w:pPr>
              <w:spacing w:after="0" w:before="0"/>
            </w:pPr>
            <w:r/>
            <w:r>
              <w:rPr>
                <w:b w:val="0"/>
                <w:i w:val="0"/>
                <w:color w:val="1A1A1A"/>
                <w:sz w:val="18"/>
              </w:rPr>
              <w:t>7 Stunden</w:t>
            </w:r>
          </w:p>
        </w:tc>
        <w:tc>
          <w:tcPr>
            <w:tcW w:type="dxa" w:w="3175"/>
            <w:shd w:val="clear" w:color="auto" w:fill="F3EFE6"/>
          </w:tcPr>
          <w:p>
            <w:pPr>
              <w:spacing w:after="0" w:before="0"/>
            </w:pPr>
            <w:r/>
            <w:r>
              <w:rPr>
                <w:b w:val="0"/>
                <w:i w:val="0"/>
                <w:color w:val="1A1A1A"/>
                <w:sz w:val="18"/>
              </w:rPr>
              <w:t>Bankettleiter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Ablageplan mit Vertretungen</w:t>
            </w:r>
          </w:p>
        </w:tc>
        <w:tc>
          <w:tcPr>
            <w:tcW w:type="dxa" w:w="1474"/>
          </w:tcPr>
          <w:p>
            <w:pPr>
              <w:spacing w:after="0" w:before="0"/>
            </w:pPr>
            <w:r/>
            <w:r>
              <w:rPr>
                <w:b w:val="0"/>
                <w:i w:val="0"/>
                <w:color w:val="1A1A1A"/>
                <w:sz w:val="18"/>
              </w:rPr>
              <w:t>3 Stunden</w:t>
            </w:r>
          </w:p>
        </w:tc>
        <w:tc>
          <w:tcPr>
            <w:tcW w:type="dxa" w:w="3175"/>
          </w:tcPr>
          <w:p>
            <w:pPr>
              <w:spacing w:after="0" w:before="0"/>
            </w:pPr>
            <w:r/>
            <w:r>
              <w:rPr>
                <w:b w:val="0"/>
                <w:i w:val="0"/>
                <w:color w:val="1A1A1A"/>
                <w:sz w:val="18"/>
              </w:rPr>
              <w:t>einmalig, Direktion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Angebot des Beraters</w:t>
            </w:r>
          </w:p>
        </w:tc>
        <w:tc>
          <w:tcPr>
            <w:tcW w:type="dxa" w:w="1474"/>
            <w:shd w:val="clear" w:color="auto" w:fill="F3EFE6"/>
          </w:tcPr>
          <w:p>
            <w:pPr>
              <w:spacing w:after="0" w:before="0"/>
            </w:pPr>
            <w:r/>
            <w:r>
              <w:rPr>
                <w:b w:val="0"/>
                <w:i w:val="0"/>
                <w:color w:val="1A1A1A"/>
                <w:sz w:val="18"/>
              </w:rPr>
              <w:t>CHF 4.800</w:t>
            </w:r>
          </w:p>
        </w:tc>
        <w:tc>
          <w:tcPr>
            <w:tcW w:type="dxa" w:w="3175"/>
            <w:shd w:val="clear" w:color="auto" w:fill="F3EFE6"/>
          </w:tcPr>
          <w:p>
            <w:pPr>
              <w:spacing w:after="0" w:before="0"/>
            </w:pPr>
            <w:r/>
            <w:r>
              <w:rPr>
                <w:b w:val="0"/>
                <w:i w:val="0"/>
                <w:color w:val="1A1A1A"/>
                <w:sz w:val="18"/>
              </w:rPr>
              <w:t>abgelehnt</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zeigt nicht, dass sich ein Einspruch lohnt. Ohne die Nachweise aus vier Monaten wäre er gescheitert, und das Nachaudit hätte CHF 2.230 gekostet. Neunzehn Stunden eigener Arbeit standen gegen diese Summe, und die meisten davon hätte das Haus für die Terrasse ohnehin gebraucht. Das Angebot des Beraters war die teuerste Zeile, und es hätte das Zertifikat gefährdet.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Kriterien und Ergebnisse der Bewertung dokumentiert und aktuell (ISO 20121, 6.1.2)</w:t>
            </w:r>
          </w:p>
        </w:tc>
        <w:tc>
          <w:tcPr>
            <w:tcW w:type="dxa" w:w="3175"/>
          </w:tcPr>
          <w:p>
            <w:pPr>
              <w:spacing w:after="0" w:before="0"/>
            </w:pPr>
            <w:r/>
            <w:r>
              <w:rPr>
                <w:b w:val="0"/>
                <w:i w:val="0"/>
                <w:color w:val="1A1A1A"/>
                <w:sz w:val="18"/>
              </w:rPr>
              <w:t>eine Liste der Themen für Saal und Terrasse</w:t>
            </w:r>
          </w:p>
        </w:tc>
        <w:tc>
          <w:tcPr>
            <w:tcW w:type="dxa" w:w="3175"/>
          </w:tcPr>
          <w:p>
            <w:pPr>
              <w:spacing w:after="0" w:before="0"/>
            </w:pPr>
            <w:r/>
            <w:r>
              <w:rPr>
                <w:b w:val="0"/>
                <w:i w:val="0"/>
                <w:color w:val="1A1A1A"/>
                <w:sz w:val="18"/>
              </w:rPr>
              <w:t>Methode: ein Dokument statt zweier</w:t>
            </w:r>
          </w:p>
        </w:tc>
      </w:tr>
      <w:tr>
        <w:trPr>
          <w:cantSplit w:val="true"/>
        </w:trPr>
        <w:tc>
          <w:tcPr>
            <w:tcW w:type="dxa" w:w="3288"/>
            <w:shd w:val="clear" w:color="auto" w:fill="F3EFE6"/>
          </w:tcPr>
          <w:p>
            <w:pPr>
              <w:spacing w:after="0" w:before="0"/>
            </w:pPr>
            <w:r/>
            <w:r>
              <w:rPr>
                <w:b w:val="0"/>
                <w:i w:val="0"/>
                <w:color w:val="1A1A1A"/>
                <w:sz w:val="18"/>
              </w:rPr>
              <w:t>Dokumentierte Information verfügbar, wo gebraucht (ISO 20121, 7.5.3)</w:t>
            </w:r>
          </w:p>
        </w:tc>
        <w:tc>
          <w:tcPr>
            <w:tcW w:type="dxa" w:w="3175"/>
            <w:shd w:val="clear" w:color="auto" w:fill="F3EFE6"/>
          </w:tcPr>
          <w:p>
            <w:pPr>
              <w:spacing w:after="0" w:before="0"/>
            </w:pPr>
            <w:r/>
            <w:r>
              <w:rPr>
                <w:b w:val="0"/>
                <w:i w:val="0"/>
                <w:color w:val="1A1A1A"/>
                <w:sz w:val="18"/>
              </w:rPr>
              <w:t>Ablageplan; Zugang auch bei Abwesenheit</w:t>
            </w:r>
          </w:p>
        </w:tc>
        <w:tc>
          <w:tcPr>
            <w:tcW w:type="dxa" w:w="3175"/>
            <w:shd w:val="clear" w:color="auto" w:fill="F3EFE6"/>
          </w:tcPr>
          <w:p>
            <w:pPr>
              <w:spacing w:after="0" w:before="0"/>
            </w:pPr>
            <w:r/>
            <w:r>
              <w:rPr>
                <w:b w:val="0"/>
                <w:i w:val="0"/>
                <w:color w:val="1A1A1A"/>
                <w:sz w:val="18"/>
              </w:rPr>
              <w:t>Methode: Vertretung für jede Ablage</w:t>
            </w:r>
          </w:p>
        </w:tc>
      </w:tr>
      <w:tr>
        <w:trPr>
          <w:cantSplit w:val="true"/>
        </w:trPr>
        <w:tc>
          <w:tcPr>
            <w:tcW w:type="dxa" w:w="3288"/>
          </w:tcPr>
          <w:p>
            <w:pPr>
              <w:spacing w:after="0" w:before="0"/>
            </w:pPr>
            <w:r/>
            <w:r>
              <w:rPr>
                <w:b w:val="0"/>
                <w:i w:val="0"/>
                <w:color w:val="1A1A1A"/>
                <w:sz w:val="18"/>
              </w:rPr>
              <w:t>Keine Beratung, keine Verbindung mit Beratern (ISO/IEC 17021-1, 5.2; Pflicht der Stelle)</w:t>
            </w:r>
          </w:p>
        </w:tc>
        <w:tc>
          <w:tcPr>
            <w:tcW w:type="dxa" w:w="3175"/>
          </w:tcPr>
          <w:p>
            <w:pPr>
              <w:spacing w:after="0" w:before="0"/>
            </w:pPr>
            <w:r/>
            <w:r>
              <w:rPr>
                <w:b w:val="0"/>
                <w:i w:val="0"/>
                <w:color w:val="1A1A1A"/>
                <w:sz w:val="18"/>
              </w:rPr>
              <w:t>Absage an den Berater; Mitteilung an die Stelle</w:t>
            </w:r>
          </w:p>
        </w:tc>
        <w:tc>
          <w:tcPr>
            <w:tcW w:type="dxa" w:w="3175"/>
          </w:tcPr>
          <w:p>
            <w:pPr>
              <w:spacing w:after="0" w:before="0"/>
            </w:pPr>
            <w:r/>
            <w:r>
              <w:rPr>
                <w:b w:val="0"/>
                <w:i w:val="0"/>
                <w:color w:val="1A1A1A"/>
                <w:sz w:val="18"/>
              </w:rPr>
              <w:t>ISO 19011:2026: Unabhängigkeit als Grundsatz</w:t>
            </w:r>
          </w:p>
        </w:tc>
      </w:tr>
      <w:tr>
        <w:trPr>
          <w:cantSplit w:val="true"/>
        </w:trPr>
        <w:tc>
          <w:tcPr>
            <w:tcW w:type="dxa" w:w="3288"/>
            <w:shd w:val="clear" w:color="auto" w:fill="F3EFE6"/>
          </w:tcPr>
          <w:p>
            <w:pPr>
              <w:spacing w:after="0" w:before="0"/>
            </w:pPr>
            <w:r/>
            <w:r>
              <w:rPr>
                <w:b w:val="0"/>
                <w:i w:val="0"/>
                <w:color w:val="1A1A1A"/>
                <w:sz w:val="18"/>
              </w:rPr>
              <w:t>Auditor nennt weder Ursache noch Lösung (9.4.5.3; Pflicht der Stelle)</w:t>
            </w:r>
          </w:p>
        </w:tc>
        <w:tc>
          <w:tcPr>
            <w:tcW w:type="dxa" w:w="3175"/>
            <w:shd w:val="clear" w:color="auto" w:fill="F3EFE6"/>
          </w:tcPr>
          <w:p>
            <w:pPr>
              <w:spacing w:after="0" w:before="0"/>
            </w:pPr>
            <w:r/>
            <w:r>
              <w:rPr>
                <w:b w:val="0"/>
                <w:i w:val="0"/>
                <w:color w:val="1A1A1A"/>
                <w:sz w:val="18"/>
              </w:rPr>
              <w:t>Ursachenanalyse des Hauses mit eigenen Leuten</w:t>
            </w:r>
          </w:p>
        </w:tc>
        <w:tc>
          <w:tcPr>
            <w:tcW w:type="dxa" w:w="3175"/>
            <w:shd w:val="clear" w:color="auto" w:fill="F3EFE6"/>
          </w:tcPr>
          <w:p>
            <w:pPr>
              <w:spacing w:after="0" w:before="0"/>
            </w:pPr>
            <w:r/>
            <w:r>
              <w:rPr>
                <w:b w:val="0"/>
                <w:i w:val="0"/>
                <w:color w:val="1A1A1A"/>
                <w:sz w:val="18"/>
              </w:rPr>
              <w:t>ISO 19011:2026: sachliche Darstellung</w:t>
            </w:r>
          </w:p>
        </w:tc>
      </w:tr>
      <w:tr>
        <w:trPr>
          <w:cantSplit w:val="true"/>
        </w:trPr>
        <w:tc>
          <w:tcPr>
            <w:tcW w:type="dxa" w:w="3288"/>
          </w:tcPr>
          <w:p>
            <w:pPr>
              <w:spacing w:after="0" w:before="0"/>
            </w:pPr>
            <w:r/>
            <w:r>
              <w:rPr>
                <w:b w:val="0"/>
                <w:i w:val="0"/>
                <w:color w:val="1A1A1A"/>
                <w:sz w:val="18"/>
              </w:rPr>
              <w:t>Ungeklärte Meinungsverschiedenheiten festhalten und weiterleiten (9.4.7.3)</w:t>
            </w:r>
          </w:p>
        </w:tc>
        <w:tc>
          <w:tcPr>
            <w:tcW w:type="dxa" w:w="3175"/>
          </w:tcPr>
          <w:p>
            <w:pPr>
              <w:spacing w:after="0" w:before="0"/>
            </w:pPr>
            <w:r/>
            <w:r>
              <w:rPr>
                <w:b w:val="0"/>
                <w:i w:val="0"/>
                <w:color w:val="1A1A1A"/>
                <w:sz w:val="18"/>
              </w:rPr>
              <w:t>unterschriebenes Protokoll mit dem Widerspruch</w:t>
            </w:r>
          </w:p>
        </w:tc>
        <w:tc>
          <w:tcPr>
            <w:tcW w:type="dxa" w:w="3175"/>
          </w:tcPr>
          <w:p>
            <w:pPr>
              <w:spacing w:after="0" w:before="0"/>
            </w:pPr>
            <w:r/>
            <w:r>
              <w:rPr>
                <w:b w:val="0"/>
                <w:i w:val="0"/>
                <w:color w:val="1A1A1A"/>
                <w:sz w:val="18"/>
              </w:rPr>
              <w:t>Methode: Widerspruch mit Nachweis noch am selben Tag</w:t>
            </w:r>
          </w:p>
        </w:tc>
      </w:tr>
      <w:tr>
        <w:trPr>
          <w:cantSplit w:val="true"/>
        </w:trPr>
        <w:tc>
          <w:tcPr>
            <w:tcW w:type="dxa" w:w="3288"/>
            <w:shd w:val="clear" w:color="auto" w:fill="F3EFE6"/>
          </w:tcPr>
          <w:p>
            <w:pPr>
              <w:spacing w:after="0" w:before="0"/>
            </w:pPr>
            <w:r/>
            <w:r>
              <w:rPr>
                <w:b w:val="0"/>
                <w:i w:val="0"/>
                <w:color w:val="1A1A1A"/>
                <w:sz w:val="18"/>
              </w:rPr>
              <w:t>Verfahren für Einsprüche und Beschwerden, ohne Benachteiligung (9.7, 9.8)</w:t>
            </w:r>
          </w:p>
        </w:tc>
        <w:tc>
          <w:tcPr>
            <w:tcW w:type="dxa" w:w="3175"/>
            <w:shd w:val="clear" w:color="auto" w:fill="F3EFE6"/>
          </w:tcPr>
          <w:p>
            <w:pPr>
              <w:spacing w:after="0" w:before="0"/>
            </w:pPr>
            <w:r/>
            <w:r>
              <w:rPr>
                <w:b w:val="0"/>
                <w:i w:val="0"/>
                <w:color w:val="1A1A1A"/>
                <w:sz w:val="18"/>
              </w:rPr>
              <w:t>Einspruch mit Anforderung, Nachweisen und Antrag</w:t>
            </w:r>
          </w:p>
        </w:tc>
        <w:tc>
          <w:tcPr>
            <w:tcW w:type="dxa" w:w="3175"/>
            <w:shd w:val="clear" w:color="auto" w:fill="F3EFE6"/>
          </w:tcPr>
          <w:p>
            <w:pPr>
              <w:spacing w:after="0" w:before="0"/>
            </w:pPr>
            <w:r/>
            <w:r>
              <w:rPr>
                <w:b w:val="0"/>
                <w:i w:val="0"/>
                <w:color w:val="1A1A1A"/>
                <w:sz w:val="18"/>
              </w:rPr>
              <w:t>Methode: Beschwerde und Einspruch getrennt halten</w:t>
            </w:r>
          </w:p>
        </w:tc>
      </w:tr>
    </w:tbl>
    <w:p>
      <w:pPr>
        <w:spacing w:after="40"/>
      </w:pPr>
    </w:p>
    <w:p>
      <w:pPr>
        <w:pStyle w:val="Heading2"/>
      </w:pPr>
      <w:r>
        <w:t>DACH-Anker: wer die Stelle prüft, und was dabei gilt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Nationale Akkreditierungsstelle</w:t>
            </w:r>
          </w:p>
        </w:tc>
        <w:tc>
          <w:tcPr>
            <w:tcW w:type="dxa" w:w="2721"/>
          </w:tcPr>
          <w:p>
            <w:pPr>
              <w:spacing w:after="0" w:before="0"/>
            </w:pPr>
            <w:r/>
            <w:r>
              <w:rPr>
                <w:b w:val="0"/>
                <w:i w:val="0"/>
                <w:color w:val="1A1A1A"/>
                <w:sz w:val="17"/>
              </w:rPr>
              <w:t>DAkkS</w:t>
            </w:r>
          </w:p>
        </w:tc>
        <w:tc>
          <w:tcPr>
            <w:tcW w:type="dxa" w:w="2721"/>
          </w:tcPr>
          <w:p>
            <w:pPr>
              <w:spacing w:after="0" w:before="0"/>
            </w:pPr>
            <w:r/>
            <w:r>
              <w:rPr>
                <w:b w:val="0"/>
                <w:i w:val="0"/>
                <w:color w:val="1A1A1A"/>
                <w:sz w:val="17"/>
              </w:rPr>
              <w:t>Akkreditierung Austria</w:t>
            </w:r>
          </w:p>
        </w:tc>
        <w:tc>
          <w:tcPr>
            <w:tcW w:type="dxa" w:w="2721"/>
          </w:tcPr>
          <w:p>
            <w:pPr>
              <w:spacing w:after="0" w:before="0"/>
            </w:pPr>
            <w:r/>
            <w:r>
              <w:rPr>
                <w:b w:val="0"/>
                <w:i w:val="0"/>
                <w:color w:val="1A1A1A"/>
                <w:sz w:val="17"/>
              </w:rPr>
              <w:t>Schweizerische Akkreditierungsstelle SAS; Auftritt heute über das SECO</w:t>
            </w:r>
          </w:p>
        </w:tc>
      </w:tr>
      <w:tr>
        <w:trPr>
          <w:cantSplit w:val="true"/>
        </w:trPr>
        <w:tc>
          <w:tcPr>
            <w:tcW w:type="dxa" w:w="1474"/>
            <w:shd w:val="clear" w:color="auto" w:fill="F3EFE6"/>
          </w:tcPr>
          <w:p>
            <w:pPr>
              <w:spacing w:after="0" w:before="0"/>
            </w:pPr>
            <w:r/>
            <w:r>
              <w:rPr>
                <w:b w:val="0"/>
                <w:i w:val="0"/>
                <w:color w:val="1A1A1A"/>
                <w:sz w:val="17"/>
              </w:rPr>
              <w:t>Akkreditierung für ISO 20121</w:t>
            </w:r>
          </w:p>
        </w:tc>
        <w:tc>
          <w:tcPr>
            <w:tcW w:type="dxa" w:w="2721"/>
            <w:shd w:val="clear" w:color="auto" w:fill="F3EFE6"/>
          </w:tcPr>
          <w:p>
            <w:pPr>
              <w:spacing w:after="0" w:before="0"/>
            </w:pPr>
            <w:r/>
            <w:r>
              <w:rPr>
                <w:b w:val="0"/>
                <w:i w:val="0"/>
                <w:color w:val="1A1A1A"/>
                <w:sz w:val="17"/>
              </w:rPr>
              <w:t>Programm beantragt; Entscheidung bis Redaktionsschluss ausstehend</w:t>
            </w:r>
          </w:p>
        </w:tc>
        <w:tc>
          <w:tcPr>
            <w:tcW w:type="dxa" w:w="2721"/>
            <w:shd w:val="clear" w:color="auto" w:fill="F3EFE6"/>
          </w:tcPr>
          <w:p>
            <w:pPr>
              <w:spacing w:after="0" w:before="0"/>
            </w:pPr>
            <w:r/>
            <w:r>
              <w:rPr>
                <w:b w:val="0"/>
                <w:i w:val="0"/>
                <w:color w:val="1A1A1A"/>
                <w:sz w:val="17"/>
              </w:rPr>
              <w:t>bis Redaktionsschluss nicht belegt; im Einzelfall fragen</w:t>
            </w:r>
          </w:p>
        </w:tc>
        <w:tc>
          <w:tcPr>
            <w:tcW w:type="dxa" w:w="2721"/>
            <w:shd w:val="clear" w:color="auto" w:fill="F3EFE6"/>
          </w:tcPr>
          <w:p>
            <w:pPr>
              <w:spacing w:after="0" w:before="0"/>
            </w:pPr>
            <w:r/>
            <w:r>
              <w:rPr>
                <w:b w:val="0"/>
                <w:i w:val="0"/>
                <w:color w:val="1A1A1A"/>
                <w:sz w:val="17"/>
              </w:rPr>
              <w:t>bis Redaktionsschluss nicht belegt; im Einzelfall fragen</w:t>
            </w:r>
          </w:p>
        </w:tc>
      </w:tr>
      <w:tr>
        <w:trPr>
          <w:cantSplit w:val="true"/>
        </w:trPr>
        <w:tc>
          <w:tcPr>
            <w:tcW w:type="dxa" w:w="1474"/>
          </w:tcPr>
          <w:p>
            <w:pPr>
              <w:spacing w:after="0" w:before="0"/>
            </w:pPr>
            <w:r/>
            <w:r>
              <w:rPr>
                <w:b w:val="0"/>
                <w:i w:val="0"/>
                <w:color w:val="1A1A1A"/>
                <w:sz w:val="17"/>
              </w:rPr>
              <w:t>Internationale Ebene</w:t>
            </w:r>
          </w:p>
        </w:tc>
        <w:tc>
          <w:tcPr>
            <w:tcW w:type="dxa" w:w="2721"/>
          </w:tcPr>
          <w:p>
            <w:pPr>
              <w:spacing w:after="0" w:before="0"/>
            </w:pPr>
            <w:r/>
            <w:r>
              <w:rPr>
                <w:b w:val="0"/>
                <w:i w:val="0"/>
                <w:color w:val="1A1A1A"/>
                <w:sz w:val="17"/>
              </w:rPr>
              <w:t>IAF seit 1. Januar 2026 in die Global ACI überführt; IAF-Dokumente gelten bis zu deren Ersatz weiter</w:t>
            </w:r>
          </w:p>
        </w:tc>
        <w:tc>
          <w:tcPr>
            <w:tcW w:type="dxa" w:w="2721"/>
          </w:tcPr>
          <w:p>
            <w:pPr>
              <w:spacing w:after="0" w:before="0"/>
            </w:pPr>
            <w:r/>
            <w:r>
              <w:rPr>
                <w:b w:val="0"/>
                <w:i w:val="0"/>
                <w:color w:val="1A1A1A"/>
                <w:sz w:val="17"/>
              </w:rPr>
              <w:t>ebenso; Akkreditierung Austria seit Oktober 2025 Mitglied der Global ACI</w:t>
            </w:r>
          </w:p>
        </w:tc>
        <w:tc>
          <w:tcPr>
            <w:tcW w:type="dxa" w:w="2721"/>
          </w:tcPr>
          <w:p>
            <w:pPr>
              <w:spacing w:after="0" w:before="0"/>
            </w:pPr>
            <w:r/>
            <w:r>
              <w:rPr>
                <w:b w:val="0"/>
                <w:i w:val="0"/>
                <w:color w:val="1A1A1A"/>
                <w:sz w:val="17"/>
              </w:rPr>
              <w:t>ebenso</w:t>
            </w:r>
          </w:p>
        </w:tc>
      </w:tr>
      <w:tr>
        <w:trPr>
          <w:cantSplit w:val="true"/>
        </w:trPr>
        <w:tc>
          <w:tcPr>
            <w:tcW w:type="dxa" w:w="1474"/>
            <w:shd w:val="clear" w:color="auto" w:fill="F3EFE6"/>
          </w:tcPr>
          <w:p>
            <w:pPr>
              <w:spacing w:after="0" w:before="0"/>
            </w:pPr>
            <w:r/>
            <w:r>
              <w:rPr>
                <w:b w:val="0"/>
                <w:i w:val="0"/>
                <w:color w:val="1A1A1A"/>
                <w:sz w:val="17"/>
              </w:rPr>
              <w:t>Ohne Akkreditierung</w:t>
            </w:r>
          </w:p>
        </w:tc>
        <w:tc>
          <w:tcPr>
            <w:tcW w:type="dxa" w:w="2721"/>
            <w:shd w:val="clear" w:color="auto" w:fill="F3EFE6"/>
          </w:tcPr>
          <w:p>
            <w:pPr>
              <w:spacing w:after="0" w:before="0"/>
            </w:pPr>
            <w:r/>
            <w:r>
              <w:rPr>
                <w:b w:val="0"/>
                <w:i w:val="0"/>
                <w:color w:val="1A1A1A"/>
                <w:sz w:val="17"/>
              </w:rPr>
              <w:t>Regeln der Norm nur, soweit vertraglich vereinbart</w:t>
            </w:r>
          </w:p>
        </w:tc>
        <w:tc>
          <w:tcPr>
            <w:tcW w:type="dxa" w:w="2721"/>
            <w:shd w:val="clear" w:color="auto" w:fill="F3EFE6"/>
          </w:tcPr>
          <w:p>
            <w:pPr>
              <w:spacing w:after="0" w:before="0"/>
            </w:pPr>
            <w:r/>
            <w:r>
              <w:rPr>
                <w:b w:val="0"/>
                <w:i w:val="0"/>
                <w:color w:val="1A1A1A"/>
                <w:sz w:val="17"/>
              </w:rPr>
              <w:t>ebenso</w:t>
            </w:r>
          </w:p>
        </w:tc>
        <w:tc>
          <w:tcPr>
            <w:tcW w:type="dxa" w:w="2721"/>
            <w:shd w:val="clear" w:color="auto" w:fill="F3EFE6"/>
          </w:tcPr>
          <w:p>
            <w:pPr>
              <w:spacing w:after="0" w:before="0"/>
            </w:pPr>
            <w:r/>
            <w:r>
              <w:rPr>
                <w:b w:val="0"/>
                <w:i w:val="0"/>
                <w:color w:val="1A1A1A"/>
                <w:sz w:val="17"/>
              </w:rPr>
              <w:t>ebenso</w:t>
            </w:r>
          </w:p>
        </w:tc>
      </w:tr>
      <w:tr>
        <w:trPr>
          <w:cantSplit w:val="true"/>
        </w:trPr>
        <w:tc>
          <w:tcPr>
            <w:tcW w:type="dxa" w:w="1474"/>
          </w:tcPr>
          <w:p>
            <w:pPr>
              <w:spacing w:after="0" w:before="0"/>
            </w:pPr>
            <w:r/>
            <w:r>
              <w:rPr>
                <w:b w:val="0"/>
                <w:i w:val="0"/>
                <w:color w:val="1A1A1A"/>
                <w:sz w:val="17"/>
              </w:rPr>
              <w:t>Gästedaten im Audit</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Datenschutzgesetz, in Kraft seit 1. September 2023</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4.14.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4.14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4.14 — Mit dem Auditor arbeiten und begründet widersprechen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