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4.15</w:t>
      </w:r>
    </w:p>
    <w:p>
      <w:pPr>
        <w:pStyle w:val="Heading1"/>
      </w:pPr>
      <w:r>
        <w:t>Über eine Zertifizierung entscheiden</w:t>
      </w:r>
    </w:p>
    <w:p>
      <w:pPr>
        <w:spacing w:after="0"/>
      </w:pPr>
      <w:r>
        <w:rPr>
          <w:b w:val="0"/>
          <w:i/>
          <w:color w:val="5A5A5A"/>
        </w:rPr>
        <w:t>Abschnitt 4.15 · Die Zertifizierung als strategischer Hebel und ihre Grenzen</w:t>
      </w:r>
    </w:p>
    <w:p>
      <w:pPr>
        <w:spacing w:after="160"/>
      </w:pPr>
      <w:r>
        <w:rPr>
          <w:b w:val="0"/>
          <w:i w:val="0"/>
          <w:color w:val="5A5A5A"/>
          <w:sz w:val="18"/>
        </w:rPr>
        <w:t>Modellfall im Buch: Bregenz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heute über eine Zertifizierung entscheiden: Entscheiden Sie, um eine Frage loszuwerden, oder weil Sie wissen, was das Zertifikat Ihrem Haus bringt und was es ihm nicht abnimmt? Und was geschieht in Ihrem Haus an den mehr als dreihundert Tagen im Jahr, an denen kein Auditor da ist?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Was das Zertifikat leistet, und was das Haus behält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Was das Zertifikat leistet</w:t>
            </w:r>
          </w:p>
        </w:tc>
        <w:tc>
          <w:tcPr>
            <w:tcW w:type="dxa" w:w="3213"/>
            <w:shd w:val="clear" w:color="auto" w:fill="8C5A2B"/>
          </w:tcPr>
          <w:p>
            <w:pPr>
              <w:spacing w:after="0" w:before="0"/>
            </w:pPr>
            <w:r/>
            <w:r>
              <w:rPr>
                <w:b/>
                <w:i w:val="0"/>
                <w:color w:val="FFFFFF"/>
                <w:sz w:val="18"/>
              </w:rPr>
              <w:t>Was es nicht leistet</w:t>
            </w:r>
          </w:p>
        </w:tc>
        <w:tc>
          <w:tcPr>
            <w:tcW w:type="dxa" w:w="3213"/>
            <w:shd w:val="clear" w:color="auto" w:fill="8C5A2B"/>
          </w:tcPr>
          <w:p>
            <w:pPr>
              <w:spacing w:after="0" w:before="0"/>
            </w:pPr>
            <w:r/>
            <w:r>
              <w:rPr>
                <w:b/>
                <w:i w:val="0"/>
                <w:color w:val="FFFFFF"/>
                <w:sz w:val="18"/>
              </w:rPr>
              <w:t>Was das Haus deshalb behält</w:t>
            </w:r>
          </w:p>
        </w:tc>
      </w:tr>
      <w:tr>
        <w:trPr>
          <w:cantSplit w:val="true"/>
        </w:trPr>
        <w:tc>
          <w:tcPr>
            <w:tcW w:type="dxa" w:w="3213"/>
          </w:tcPr>
          <w:p>
            <w:pPr>
              <w:spacing w:after="0" w:before="0"/>
            </w:pPr>
            <w:r/>
            <w:r>
              <w:rPr>
                <w:b w:val="0"/>
                <w:i w:val="0"/>
                <w:color w:val="1A1A1A"/>
                <w:sz w:val="18"/>
              </w:rPr>
              <w:t>Nachweis eines Dritten für Kunden und Verbände</w:t>
            </w:r>
          </w:p>
        </w:tc>
        <w:tc>
          <w:tcPr>
            <w:tcW w:type="dxa" w:w="3213"/>
          </w:tcPr>
          <w:p>
            <w:pPr>
              <w:spacing w:after="0" w:before="0"/>
            </w:pPr>
            <w:r/>
            <w:r>
              <w:rPr>
                <w:b w:val="0"/>
                <w:i w:val="0"/>
                <w:color w:val="1A1A1A"/>
                <w:sz w:val="18"/>
              </w:rPr>
              <w:t>Zuschlag in der Vergabe</w:t>
            </w:r>
          </w:p>
        </w:tc>
        <w:tc>
          <w:tcPr>
            <w:tcW w:type="dxa" w:w="3213"/>
          </w:tcPr>
          <w:p>
            <w:pPr>
              <w:spacing w:after="0" w:before="0"/>
            </w:pPr>
            <w:r/>
            <w:r>
              <w:rPr>
                <w:b w:val="0"/>
                <w:i w:val="0"/>
                <w:color w:val="1A1A1A"/>
                <w:sz w:val="18"/>
              </w:rPr>
              <w:t>Zahlen, Lehren und Antworten, die das Haus unterscheiden</w:t>
            </w:r>
          </w:p>
        </w:tc>
      </w:tr>
      <w:tr>
        <w:trPr>
          <w:cantSplit w:val="true"/>
        </w:trPr>
        <w:tc>
          <w:tcPr>
            <w:tcW w:type="dxa" w:w="3213"/>
            <w:shd w:val="clear" w:color="auto" w:fill="F3EFE6"/>
          </w:tcPr>
          <w:p>
            <w:pPr>
              <w:spacing w:after="0" w:before="0"/>
            </w:pPr>
            <w:r/>
            <w:r>
              <w:rPr>
                <w:b w:val="0"/>
                <w:i w:val="0"/>
                <w:color w:val="1A1A1A"/>
                <w:sz w:val="18"/>
              </w:rPr>
              <w:t>jährlicher Takt durch Überwachung</w:t>
            </w:r>
          </w:p>
        </w:tc>
        <w:tc>
          <w:tcPr>
            <w:tcW w:type="dxa" w:w="3213"/>
            <w:shd w:val="clear" w:color="auto" w:fill="F3EFE6"/>
          </w:tcPr>
          <w:p>
            <w:pPr>
              <w:spacing w:after="0" w:before="0"/>
            </w:pPr>
            <w:r/>
            <w:r>
              <w:rPr>
                <w:b w:val="0"/>
                <w:i w:val="0"/>
                <w:color w:val="1A1A1A"/>
                <w:sz w:val="18"/>
              </w:rPr>
              <w:t>Prüfung an den übrigen Tagen</w:t>
            </w:r>
          </w:p>
        </w:tc>
        <w:tc>
          <w:tcPr>
            <w:tcW w:type="dxa" w:w="3213"/>
            <w:shd w:val="clear" w:color="auto" w:fill="F3EFE6"/>
          </w:tcPr>
          <w:p>
            <w:pPr>
              <w:spacing w:after="0" w:before="0"/>
            </w:pPr>
            <w:r/>
            <w:r>
              <w:rPr>
                <w:b w:val="0"/>
                <w:i w:val="0"/>
                <w:color w:val="1A1A1A"/>
                <w:sz w:val="18"/>
              </w:rPr>
              <w:t>interne Audits, Managementbewertung, Rundgang in der Nacht</w:t>
            </w:r>
          </w:p>
        </w:tc>
      </w:tr>
      <w:tr>
        <w:trPr>
          <w:cantSplit w:val="true"/>
        </w:trPr>
        <w:tc>
          <w:tcPr>
            <w:tcW w:type="dxa" w:w="3213"/>
          </w:tcPr>
          <w:p>
            <w:pPr>
              <w:spacing w:after="0" w:before="0"/>
            </w:pPr>
            <w:r/>
            <w:r>
              <w:rPr>
                <w:b w:val="0"/>
                <w:i w:val="0"/>
                <w:color w:val="1A1A1A"/>
                <w:sz w:val="18"/>
              </w:rPr>
              <w:t>Bestätigung, dass das System konform ist</w:t>
            </w:r>
          </w:p>
        </w:tc>
        <w:tc>
          <w:tcPr>
            <w:tcW w:type="dxa" w:w="3213"/>
          </w:tcPr>
          <w:p>
            <w:pPr>
              <w:spacing w:after="0" w:before="0"/>
            </w:pPr>
            <w:r/>
            <w:r>
              <w:rPr>
                <w:b w:val="0"/>
                <w:i w:val="0"/>
                <w:color w:val="1A1A1A"/>
                <w:sz w:val="18"/>
              </w:rPr>
              <w:t>Urteil über die Leistung bei den Leitprinzipien</w:t>
            </w:r>
          </w:p>
        </w:tc>
        <w:tc>
          <w:tcPr>
            <w:tcW w:type="dxa" w:w="3213"/>
          </w:tcPr>
          <w:p>
            <w:pPr>
              <w:spacing w:after="0" w:before="0"/>
            </w:pPr>
            <w:r/>
            <w:r>
              <w:rPr>
                <w:b w:val="0"/>
                <w:i w:val="0"/>
                <w:color w:val="1A1A1A"/>
                <w:sz w:val="18"/>
              </w:rPr>
              <w:t>eigene Bewertung gegen Zweck, Werte und Leitprinzipien</w:t>
            </w:r>
          </w:p>
        </w:tc>
      </w:tr>
      <w:tr>
        <w:trPr>
          <w:cantSplit w:val="true"/>
        </w:trPr>
        <w:tc>
          <w:tcPr>
            <w:tcW w:type="dxa" w:w="3213"/>
            <w:shd w:val="clear" w:color="auto" w:fill="F3EFE6"/>
          </w:tcPr>
          <w:p>
            <w:pPr>
              <w:spacing w:after="0" w:before="0"/>
            </w:pPr>
            <w:r/>
            <w:r>
              <w:rPr>
                <w:b w:val="0"/>
                <w:i w:val="0"/>
                <w:color w:val="1A1A1A"/>
                <w:sz w:val="18"/>
              </w:rPr>
              <w:t>Aussage für einen genannten Anwendungsbereich</w:t>
            </w:r>
          </w:p>
        </w:tc>
        <w:tc>
          <w:tcPr>
            <w:tcW w:type="dxa" w:w="3213"/>
            <w:shd w:val="clear" w:color="auto" w:fill="F3EFE6"/>
          </w:tcPr>
          <w:p>
            <w:pPr>
              <w:spacing w:after="0" w:before="0"/>
            </w:pPr>
            <w:r/>
            <w:r>
              <w:rPr>
                <w:b w:val="0"/>
                <w:i w:val="0"/>
                <w:color w:val="1A1A1A"/>
                <w:sz w:val="18"/>
              </w:rPr>
              <w:t>Aussage über das ganze Haus</w:t>
            </w:r>
          </w:p>
        </w:tc>
        <w:tc>
          <w:tcPr>
            <w:tcW w:type="dxa" w:w="3213"/>
            <w:shd w:val="clear" w:color="auto" w:fill="F3EFE6"/>
          </w:tcPr>
          <w:p>
            <w:pPr>
              <w:spacing w:after="0" w:before="0"/>
            </w:pPr>
            <w:r/>
            <w:r>
              <w:rPr>
                <w:b w:val="0"/>
                <w:i w:val="0"/>
                <w:color w:val="1A1A1A"/>
                <w:sz w:val="18"/>
              </w:rPr>
              <w:t>Selbsterklärung und ehrliche Grenze nach außen</w:t>
            </w:r>
          </w:p>
        </w:tc>
      </w:tr>
    </w:tbl>
    <w:p>
      <w:pPr>
        <w:spacing w:after="40"/>
      </w:pPr>
    </w:p>
    <w:p>
      <w:pPr>
        <w:pStyle w:val="Heading2"/>
      </w:pPr>
      <w:r>
        <w:t>Praktische Anwendung: über eine Zertifizierung in sieben Schritten entscheiden</w:t>
      </w:r>
    </w:p>
    <w:p>
      <w:pPr>
        <w:tabs>
          <w:tab w:pos="340" w:val="left"/>
        </w:tabs>
        <w:ind w:left="340" w:hanging="340"/>
      </w:pPr>
      <w:r>
        <w:rPr>
          <w:b/>
          <w:color w:val="8C5A2B"/>
        </w:rPr>
        <w:t>1.</w:t>
        <w:tab/>
      </w:r>
      <w:r>
        <w:rPr>
          <w:b/>
        </w:rPr>
        <w:t>Mit dem Leitbild beginnen.</w:t>
      </w:r>
      <w:r>
        <w:t xml:space="preserve"> Legen Sie Leitbild und die Bewertung gegen die Leitprinzipien auf die erste Seite. Ein Zertifikat, das nicht zum Leitbild passt, ist eine Werbemaßnahme.</w:t>
      </w:r>
    </w:p>
    <w:p>
      <w:pPr>
        <w:tabs>
          <w:tab w:pos="340" w:val="left"/>
        </w:tabs>
        <w:ind w:left="340" w:hanging="340"/>
      </w:pPr>
      <w:r>
        <w:rPr>
          <w:b/>
          <w:color w:val="8C5A2B"/>
        </w:rPr>
        <w:t>2.</w:t>
        <w:tab/>
      </w:r>
      <w:r>
        <w:rPr>
          <w:b/>
        </w:rPr>
        <w:t>Die Anforderungen der Kunden lesen.</w:t>
      </w:r>
      <w:r>
        <w:t xml:space="preserve"> Was verlangen sie genau: Zertifizierung, Akkreditierung, welchen Bereich, ab wann? Fragen Sie schriftlich nach, was sie akzeptieren.</w:t>
      </w:r>
    </w:p>
    <w:p>
      <w:pPr>
        <w:tabs>
          <w:tab w:pos="340" w:val="left"/>
        </w:tabs>
        <w:ind w:left="340" w:hanging="340"/>
      </w:pPr>
      <w:r>
        <w:rPr>
          <w:b/>
          <w:color w:val="8C5A2B"/>
        </w:rPr>
        <w:t>3.</w:t>
        <w:tab/>
      </w:r>
      <w:r>
        <w:rPr>
          <w:b/>
        </w:rPr>
        <w:t>Den Bereich schneiden, den das System trägt.</w:t>
      </w:r>
      <w:r>
        <w:t xml:space="preserve"> Was das interne Audit noch nicht hält, bleibt draußen, mit Begründung und Termin. Der Bereich kann wachsen, wenn das System nachkommt.</w:t>
      </w:r>
    </w:p>
    <w:p>
      <w:pPr>
        <w:tabs>
          <w:tab w:pos="340" w:val="left"/>
        </w:tabs>
        <w:ind w:left="340" w:hanging="340"/>
      </w:pPr>
      <w:r>
        <w:rPr>
          <w:b/>
          <w:color w:val="8C5A2B"/>
        </w:rPr>
        <w:t>4.</w:t>
        <w:tab/>
      </w:r>
      <w:r>
        <w:rPr>
          <w:b/>
        </w:rPr>
        <w:t>Die Stelle nach dem Prüfer wählen.</w:t>
      </w:r>
      <w:r>
        <w:t xml:space="preserve"> Fragen Sie nach Akkreditierung und Geltungsbereich, nach der Erfahrung des Auditors mit Veranstaltungen und danach, ob das Audit während eines Festes geplant wird (4.1, 4.2).</w:t>
      </w:r>
    </w:p>
    <w:p>
      <w:pPr>
        <w:tabs>
          <w:tab w:pos="340" w:val="left"/>
        </w:tabs>
        <w:ind w:left="340" w:hanging="340"/>
      </w:pPr>
      <w:r>
        <w:rPr>
          <w:b/>
          <w:color w:val="8C5A2B"/>
        </w:rPr>
        <w:t>5.</w:t>
        <w:tab/>
      </w:r>
      <w:r>
        <w:rPr>
          <w:b/>
        </w:rPr>
        <w:t>Die Termine an die Feste legen.</w:t>
      </w:r>
      <w:r>
        <w:t xml:space="preserve"> Stufe 2 und jede Überwachung finden an Tagen statt, an denen das System arbeitet. Der ruhigste Monat ist der falsche.</w:t>
      </w:r>
    </w:p>
    <w:p>
      <w:pPr>
        <w:tabs>
          <w:tab w:pos="340" w:val="left"/>
        </w:tabs>
        <w:ind w:left="340" w:hanging="340"/>
      </w:pPr>
      <w:r>
        <w:rPr>
          <w:b/>
          <w:color w:val="8C5A2B"/>
        </w:rPr>
        <w:t>6.</w:t>
        <w:tab/>
      </w:r>
      <w:r>
        <w:rPr>
          <w:b/>
        </w:rPr>
        <w:t>Die Rechnung über den ganzen Zyklus führen.</w:t>
      </w:r>
      <w:r>
        <w:t xml:space="preserve"> Erstes Jahr, Überwachungen, Rezertifizierung, eigene Stunden. Umsätze, die von der Vergabe abhängen, werden als möglich geführt, nicht als gesichert.</w:t>
      </w:r>
    </w:p>
    <w:p>
      <w:pPr>
        <w:tabs>
          <w:tab w:pos="340" w:val="left"/>
        </w:tabs>
        <w:ind w:left="340" w:hanging="340"/>
      </w:pPr>
      <w:r>
        <w:rPr>
          <w:b/>
          <w:color w:val="8C5A2B"/>
        </w:rPr>
        <w:t>7.</w:t>
        <w:tab/>
      </w:r>
      <w:r>
        <w:rPr>
          <w:b/>
        </w:rPr>
        <w:t>Ins Protokoll schreiben, was bleibt.</w:t>
      </w:r>
      <w:r>
        <w:t xml:space="preserve"> Interne Audits, Managementbewertung, Lehren aus jedem Fest, die Selbsterklärung. Was nicht im Protokoll steht, wird im ersten ruhigen Winter eingespart.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Mit dem Leitbild beginnen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Anforderungen der Kunden lesen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Den Bereich schneiden, den das System trägt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Stelle nach dem Prüfer wählen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Termine an die Feste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Rechnung über den ganzen Zyklus führen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Ins Protokoll schreiben, was bleibt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Liegt der Entscheidung ein System zugrunde, das mindestens ein Jahr mit internem Audit und Managementbewertung gelaufen ist?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die Entscheidung am Leitbild und an der Bewertung gegen die Leitprinzipien geprüft?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wir schriftlich, was unsere Kunden genau verlangen und akzeptieren?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Umfasst der Geltungsbereich der Zertifizierung nur, was das System heute trägt?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Kennen wir den Stand der Akkreditierung der Stelle für ISO 20121?</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Liegen Stufe 2 und die Überwachungen an Tagen mit Veranstaltungen?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die Kosten über den ganzen Zyklus gerechnet, eigene Stunden eingeschlossen?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im Protokoll, welche eigenen Prüfungen nach dem Zertifikat weiterlaufen?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Alles zertifizieren lassen.</w:t>
      </w:r>
      <w:r>
        <w:t xml:space="preserve"> Der Bereich verspricht dann, was das System nicht trägt, und Stufe 2 findet es.</w:t>
      </w:r>
    </w:p>
    <w:p>
      <w:pPr>
        <w:tabs>
          <w:tab w:pos="340" w:val="left"/>
        </w:tabs>
        <w:ind w:left="340" w:hanging="340"/>
      </w:pPr>
      <w:r>
        <w:rPr>
          <w:color w:val="8C5A2B"/>
        </w:rPr>
        <w:t>–</w:t>
        <w:tab/>
      </w:r>
      <w:r>
        <w:rPr>
          <w:b/>
        </w:rPr>
        <w:t>Nach dem Zertifikat die eigenen Audits einsparen.</w:t>
      </w:r>
      <w:r>
        <w:t xml:space="preserve"> Die Stelle prüft, ob das Haus sich selbst prüft.</w:t>
      </w:r>
    </w:p>
    <w:p>
      <w:pPr>
        <w:tabs>
          <w:tab w:pos="340" w:val="left"/>
        </w:tabs>
        <w:ind w:left="340" w:hanging="340"/>
      </w:pPr>
      <w:r>
        <w:rPr>
          <w:color w:val="8C5A2B"/>
        </w:rPr>
        <w:t>–</w:t>
        <w:tab/>
      </w:r>
      <w:r>
        <w:rPr>
          <w:b/>
        </w:rPr>
        <w:t>Umsätze als gesichert führen.</w:t>
      </w:r>
      <w:r>
        <w:t xml:space="preserve"> Ein Zertifikat ist eine Bedingung für die Teilnahme, kein Zuschlag.</w:t>
      </w:r>
    </w:p>
    <w:p>
      <w:pPr>
        <w:tabs>
          <w:tab w:pos="340" w:val="left"/>
        </w:tabs>
        <w:ind w:left="340" w:hanging="340"/>
      </w:pPr>
      <w:r>
        <w:rPr>
          <w:color w:val="8C5A2B"/>
        </w:rPr>
        <w:t>–</w:t>
        <w:tab/>
      </w:r>
      <w:r>
        <w:rPr>
          <w:b/>
        </w:rPr>
        <w:t>Den ruhigsten Monat für die Prüfung wählen.</w:t>
      </w:r>
      <w:r>
        <w:t xml:space="preserve"> Geprüft werden dann die Ordner.</w:t>
      </w:r>
    </w:p>
    <w:p>
      <w:pPr>
        <w:tabs>
          <w:tab w:pos="340" w:val="left"/>
        </w:tabs>
        <w:ind w:left="340" w:hanging="340"/>
      </w:pPr>
      <w:r>
        <w:rPr>
          <w:color w:val="8C5A2B"/>
        </w:rPr>
        <w:t>–</w:t>
        <w:tab/>
      </w:r>
      <w:r>
        <w:rPr>
          <w:b/>
        </w:rPr>
        <w:t>Das Leitbild dem Zertifikat überlassen.</w:t>
      </w:r>
      <w:r>
        <w:t xml:space="preserve"> Wie weit ein Haus bei seinen Leitprinzipien ist, bewertet es selbst.</w:t>
      </w:r>
    </w:p>
    <w:p>
      <w:pPr>
        <w:tabs>
          <w:tab w:pos="340" w:val="left"/>
        </w:tabs>
        <w:ind w:left="340" w:hanging="340"/>
      </w:pPr>
      <w:r>
        <w:rPr>
          <w:color w:val="8C5A2B"/>
        </w:rPr>
        <w:t>–</w:t>
        <w:tab/>
      </w:r>
      <w:r>
        <w:rPr>
          <w:b/>
        </w:rPr>
        <w:t>Nur das erste Jahr rechnen.</w:t>
      </w:r>
      <w:r>
        <w:t xml:space="preserve"> Überwachung und Rezertifizierung gehören zur Entscheidung.</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Stelle, erstes Jahr mit Stufe 1 und Stufe 2</w:t>
            </w:r>
          </w:p>
        </w:tc>
        <w:tc>
          <w:tcPr>
            <w:tcW w:type="dxa" w:w="1474"/>
          </w:tcPr>
          <w:p>
            <w:pPr>
              <w:spacing w:after="0" w:before="0"/>
            </w:pPr>
            <w:r/>
            <w:r>
              <w:rPr>
                <w:b w:val="0"/>
                <w:i w:val="0"/>
                <w:color w:val="1A1A1A"/>
                <w:sz w:val="18"/>
              </w:rPr>
              <w:t>€ 7.800</w:t>
            </w:r>
          </w:p>
        </w:tc>
        <w:tc>
          <w:tcPr>
            <w:tcW w:type="dxa" w:w="3175"/>
          </w:tcPr>
          <w:p>
            <w:pPr>
              <w:spacing w:after="0" w:before="0"/>
            </w:pPr>
            <w:r/>
            <w:r>
              <w:rPr>
                <w:b w:val="0"/>
                <w:i w:val="0"/>
                <w:color w:val="1A1A1A"/>
                <w:sz w:val="18"/>
              </w:rPr>
              <w:t>Angebot im Fall</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Stelle, zwei Überwachungsjahre: 2 × € 4.600</w:t>
            </w:r>
          </w:p>
        </w:tc>
        <w:tc>
          <w:tcPr>
            <w:tcW w:type="dxa" w:w="1474"/>
            <w:shd w:val="clear" w:color="auto" w:fill="F3EFE6"/>
          </w:tcPr>
          <w:p>
            <w:pPr>
              <w:spacing w:after="0" w:before="0"/>
            </w:pPr>
            <w:r/>
            <w:r>
              <w:rPr>
                <w:b w:val="0"/>
                <w:i w:val="0"/>
                <w:color w:val="1A1A1A"/>
                <w:sz w:val="18"/>
              </w:rPr>
              <w:t>€ 9.200</w:t>
            </w:r>
          </w:p>
        </w:tc>
        <w:tc>
          <w:tcPr>
            <w:tcW w:type="dxa" w:w="3175"/>
            <w:shd w:val="clear" w:color="auto" w:fill="F3EFE6"/>
          </w:tcPr>
          <w:p>
            <w:pPr>
              <w:spacing w:after="0" w:before="0"/>
            </w:pPr>
            <w:r/>
            <w:r>
              <w:rPr>
                <w:b w:val="0"/>
                <w:i w:val="0"/>
                <w:color w:val="1A1A1A"/>
                <w:sz w:val="18"/>
              </w:rPr>
              <w:t>danach Rezertifizierung, neu anzubieten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Eigene Stunden für Stufe 1 und Stufe 2</w:t>
            </w:r>
          </w:p>
        </w:tc>
        <w:tc>
          <w:tcPr>
            <w:tcW w:type="dxa" w:w="1474"/>
          </w:tcPr>
          <w:p>
            <w:pPr>
              <w:spacing w:after="0" w:before="0"/>
            </w:pPr>
            <w:r/>
            <w:r>
              <w:rPr>
                <w:b w:val="0"/>
                <w:i w:val="0"/>
                <w:color w:val="1A1A1A"/>
                <w:sz w:val="18"/>
              </w:rPr>
              <w:t>64 Stunden</w:t>
            </w:r>
          </w:p>
        </w:tc>
        <w:tc>
          <w:tcPr>
            <w:tcW w:type="dxa" w:w="3175"/>
          </w:tcPr>
          <w:p>
            <w:pPr>
              <w:spacing w:after="0" w:before="0"/>
            </w:pPr>
            <w:r/>
            <w:r>
              <w:rPr>
                <w:b w:val="0"/>
                <w:i w:val="0"/>
                <w:color w:val="1A1A1A"/>
                <w:sz w:val="18"/>
              </w:rPr>
              <w:t>Leitung, Bankett, Küche, Technik</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Interne Audits: 2 im Jahr × 2 Auditoren × 16 Stunden</w:t>
            </w:r>
          </w:p>
        </w:tc>
        <w:tc>
          <w:tcPr>
            <w:tcW w:type="dxa" w:w="1474"/>
            <w:shd w:val="clear" w:color="auto" w:fill="F3EFE6"/>
          </w:tcPr>
          <w:p>
            <w:pPr>
              <w:spacing w:after="0" w:before="0"/>
            </w:pPr>
            <w:r/>
            <w:r>
              <w:rPr>
                <w:b w:val="0"/>
                <w:i w:val="0"/>
                <w:color w:val="1A1A1A"/>
                <w:sz w:val="18"/>
              </w:rPr>
              <w:t>64 Stunden</w:t>
            </w:r>
          </w:p>
        </w:tc>
        <w:tc>
          <w:tcPr>
            <w:tcW w:type="dxa" w:w="3175"/>
            <w:shd w:val="clear" w:color="auto" w:fill="F3EFE6"/>
          </w:tcPr>
          <w:p>
            <w:pPr>
              <w:spacing w:after="0" w:before="0"/>
            </w:pPr>
            <w:r/>
            <w:r>
              <w:rPr>
                <w:b w:val="0"/>
                <w:i w:val="0"/>
                <w:color w:val="1A1A1A"/>
                <w:sz w:val="18"/>
              </w:rPr>
              <w:t>jährlich, unabhängig vom Zertifikat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Kongress des Verbands</w:t>
            </w:r>
          </w:p>
        </w:tc>
        <w:tc>
          <w:tcPr>
            <w:tcW w:type="dxa" w:w="1474"/>
          </w:tcPr>
          <w:p>
            <w:pPr>
              <w:spacing w:after="0" w:before="0"/>
            </w:pPr>
            <w:r/>
            <w:r>
              <w:rPr>
                <w:b w:val="0"/>
                <w:i w:val="0"/>
                <w:color w:val="1A1A1A"/>
                <w:sz w:val="18"/>
              </w:rPr>
              <w:t>€ 115.000</w:t>
            </w:r>
          </w:p>
        </w:tc>
        <w:tc>
          <w:tcPr>
            <w:tcW w:type="dxa" w:w="3175"/>
          </w:tcPr>
          <w:p>
            <w:pPr>
              <w:spacing w:after="0" w:before="0"/>
            </w:pPr>
            <w:r/>
            <w:r>
              <w:rPr>
                <w:b w:val="0"/>
                <w:i w:val="0"/>
                <w:color w:val="1A1A1A"/>
                <w:sz w:val="18"/>
              </w:rPr>
              <w:t>Umsatz, möglich bei Zuschlag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Weihnachtsgala und zwei Tagungen der Firmenkunden</w:t>
            </w:r>
          </w:p>
        </w:tc>
        <w:tc>
          <w:tcPr>
            <w:tcW w:type="dxa" w:w="1474"/>
            <w:shd w:val="clear" w:color="auto" w:fill="F3EFE6"/>
          </w:tcPr>
          <w:p>
            <w:pPr>
              <w:spacing w:after="0" w:before="0"/>
            </w:pPr>
            <w:r/>
            <w:r>
              <w:rPr>
                <w:b w:val="0"/>
                <w:i w:val="0"/>
                <w:color w:val="1A1A1A"/>
                <w:sz w:val="18"/>
              </w:rPr>
              <w:t>€ 93.000</w:t>
            </w:r>
          </w:p>
        </w:tc>
        <w:tc>
          <w:tcPr>
            <w:tcW w:type="dxa" w:w="3175"/>
            <w:shd w:val="clear" w:color="auto" w:fill="F3EFE6"/>
          </w:tcPr>
          <w:p>
            <w:pPr>
              <w:spacing w:after="0" w:before="0"/>
            </w:pPr>
            <w:r/>
            <w:r>
              <w:rPr>
                <w:b w:val="0"/>
                <w:i w:val="0"/>
                <w:color w:val="1A1A1A"/>
                <w:sz w:val="18"/>
              </w:rPr>
              <w:t>Umsatz jährlich, bisher ohne Zertifikat gewonnen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Rund 17.000 Euro an die Stelle in drei Jahren stehen gegen gut 200.000 Euro Umsatz, die das Haus ohne Zertifikat ab dem übernächsten Jahr zum Teil nicht mehr anbieten könnte. Umsatz ist nicht Gewinn, und keine Zeile sagt, dass das Haus einen Auftrag gewinnt oder behält. Die Stunden sind getrennt geführt: Die internen Audits kosten das Haus jedes Jahr gleich viel, mit oder ohne Zertifikat.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Leitbild und Leitprinzipien als Rahmen für Politik, Ziele, Pläne (4.5)</w:t>
            </w:r>
          </w:p>
        </w:tc>
        <w:tc>
          <w:tcPr>
            <w:tcW w:type="dxa" w:w="3175"/>
          </w:tcPr>
          <w:p>
            <w:pPr>
              <w:spacing w:after="0" w:before="0"/>
            </w:pPr>
            <w:r/>
            <w:r>
              <w:rPr>
                <w:b w:val="0"/>
                <w:i w:val="0"/>
                <w:color w:val="1A1A1A"/>
                <w:sz w:val="18"/>
              </w:rPr>
              <w:t>Leitbild als erste Seite der Entscheidungsvorlage</w:t>
            </w:r>
          </w:p>
        </w:tc>
        <w:tc>
          <w:tcPr>
            <w:tcW w:type="dxa" w:w="3175"/>
          </w:tcPr>
          <w:p>
            <w:pPr>
              <w:spacing w:after="0" w:before="0"/>
            </w:pPr>
            <w:r/>
            <w:r>
              <w:rPr>
                <w:b w:val="0"/>
                <w:i w:val="0"/>
                <w:color w:val="1A1A1A"/>
                <w:sz w:val="18"/>
              </w:rPr>
              <w:t>Methode: Entscheidung über das Zertifikat am Leitbild prüfen</w:t>
            </w:r>
          </w:p>
        </w:tc>
      </w:tr>
      <w:tr>
        <w:trPr>
          <w:cantSplit w:val="true"/>
        </w:trPr>
        <w:tc>
          <w:tcPr>
            <w:tcW w:type="dxa" w:w="3288"/>
            <w:shd w:val="clear" w:color="auto" w:fill="F3EFE6"/>
          </w:tcPr>
          <w:p>
            <w:pPr>
              <w:spacing w:after="0" w:before="0"/>
            </w:pPr>
            <w:r/>
            <w:r>
              <w:rPr>
                <w:b w:val="0"/>
                <w:i w:val="0"/>
                <w:color w:val="1A1A1A"/>
                <w:sz w:val="18"/>
              </w:rPr>
              <w:t>Managementbewertung mit Entscheidungen (9.3.1, 9.3.3)</w:t>
            </w:r>
          </w:p>
        </w:tc>
        <w:tc>
          <w:tcPr>
            <w:tcW w:type="dxa" w:w="3175"/>
            <w:shd w:val="clear" w:color="auto" w:fill="F3EFE6"/>
          </w:tcPr>
          <w:p>
            <w:pPr>
              <w:spacing w:after="0" w:before="0"/>
            </w:pPr>
            <w:r/>
            <w:r>
              <w:rPr>
                <w:b w:val="0"/>
                <w:i w:val="0"/>
                <w:color w:val="1A1A1A"/>
                <w:sz w:val="18"/>
              </w:rPr>
              <w:t>Protokoll mit Entscheidung, Bereich, Terminen, Namen</w:t>
            </w:r>
          </w:p>
        </w:tc>
        <w:tc>
          <w:tcPr>
            <w:tcW w:type="dxa" w:w="3175"/>
            <w:shd w:val="clear" w:color="auto" w:fill="F3EFE6"/>
          </w:tcPr>
          <w:p>
            <w:pPr>
              <w:spacing w:after="0" w:before="0"/>
            </w:pPr>
            <w:r/>
            <w:r>
              <w:rPr>
                <w:b w:val="0"/>
                <w:i w:val="0"/>
                <w:color w:val="1A1A1A"/>
                <w:sz w:val="18"/>
              </w:rPr>
              <w:t>A.22: Bewertung muss nicht bis nach der Veranstaltung warten</w:t>
            </w:r>
          </w:p>
        </w:tc>
      </w:tr>
      <w:tr>
        <w:trPr>
          <w:cantSplit w:val="true"/>
        </w:trPr>
        <w:tc>
          <w:tcPr>
            <w:tcW w:type="dxa" w:w="3288"/>
          </w:tcPr>
          <w:p>
            <w:pPr>
              <w:spacing w:after="0" w:before="0"/>
            </w:pPr>
            <w:r/>
            <w:r>
              <w:rPr>
                <w:b w:val="0"/>
                <w:i w:val="0"/>
                <w:color w:val="1A1A1A"/>
                <w:sz w:val="18"/>
              </w:rPr>
              <w:t>Bewertung gegenüber Zweck, Werten, Leitprinzipien (9.3.4)</w:t>
            </w:r>
          </w:p>
        </w:tc>
        <w:tc>
          <w:tcPr>
            <w:tcW w:type="dxa" w:w="3175"/>
          </w:tcPr>
          <w:p>
            <w:pPr>
              <w:spacing w:after="0" w:before="0"/>
            </w:pPr>
            <w:r/>
            <w:r>
              <w:rPr>
                <w:b w:val="0"/>
                <w:i w:val="0"/>
                <w:color w:val="1A1A1A"/>
                <w:sz w:val="18"/>
              </w:rPr>
              <w:t>Selbsteinschätzung von sechs Personen, mit Begründung</w:t>
            </w:r>
          </w:p>
        </w:tc>
        <w:tc>
          <w:tcPr>
            <w:tcW w:type="dxa" w:w="3175"/>
          </w:tcPr>
          <w:p>
            <w:pPr>
              <w:spacing w:after="0" w:before="0"/>
            </w:pPr>
            <w:r/>
            <w:r>
              <w:rPr>
                <w:b w:val="0"/>
                <w:i w:val="0"/>
                <w:color w:val="1A1A1A"/>
                <w:sz w:val="18"/>
              </w:rPr>
              <w:t>Reifegradmatrix (Tabelle A.5)</w:t>
            </w:r>
          </w:p>
        </w:tc>
      </w:tr>
      <w:tr>
        <w:trPr>
          <w:cantSplit w:val="true"/>
        </w:trPr>
        <w:tc>
          <w:tcPr>
            <w:tcW w:type="dxa" w:w="3288"/>
            <w:shd w:val="clear" w:color="auto" w:fill="F3EFE6"/>
          </w:tcPr>
          <w:p>
            <w:pPr>
              <w:spacing w:after="0" w:before="0"/>
            </w:pPr>
            <w:r/>
            <w:r>
              <w:rPr>
                <w:b w:val="0"/>
                <w:i w:val="0"/>
                <w:color w:val="1A1A1A"/>
                <w:sz w:val="18"/>
              </w:rPr>
              <w:t>Interne Audits; fortlaufende Verbesserung (9.2, 10.1)</w:t>
            </w:r>
          </w:p>
        </w:tc>
        <w:tc>
          <w:tcPr>
            <w:tcW w:type="dxa" w:w="3175"/>
            <w:shd w:val="clear" w:color="auto" w:fill="F3EFE6"/>
          </w:tcPr>
          <w:p>
            <w:pPr>
              <w:spacing w:after="0" w:before="0"/>
            </w:pPr>
            <w:r/>
            <w:r>
              <w:rPr>
                <w:b w:val="0"/>
                <w:i w:val="0"/>
                <w:color w:val="1A1A1A"/>
                <w:sz w:val="18"/>
              </w:rPr>
              <w:t>Auditprogramm für das dritte Jahr; Maßnahmen aus den Befunden</w:t>
            </w:r>
          </w:p>
        </w:tc>
        <w:tc>
          <w:tcPr>
            <w:tcW w:type="dxa" w:w="3175"/>
            <w:shd w:val="clear" w:color="auto" w:fill="F3EFE6"/>
          </w:tcPr>
          <w:p>
            <w:pPr>
              <w:spacing w:after="0" w:before="0"/>
            </w:pPr>
            <w:r/>
            <w:r>
              <w:rPr>
                <w:b w:val="0"/>
                <w:i w:val="0"/>
                <w:color w:val="1A1A1A"/>
                <w:sz w:val="18"/>
              </w:rPr>
              <w:t>Methode: Liste dessen, was nach dem Zertifikat bleibt</w:t>
            </w:r>
          </w:p>
        </w:tc>
      </w:tr>
      <w:tr>
        <w:trPr>
          <w:cantSplit w:val="true"/>
        </w:trPr>
        <w:tc>
          <w:tcPr>
            <w:tcW w:type="dxa" w:w="3288"/>
          </w:tcPr>
          <w:p>
            <w:pPr>
              <w:spacing w:after="0" w:before="0"/>
            </w:pPr>
            <w:r/>
            <w:r>
              <w:rPr>
                <w:b w:val="0"/>
                <w:i w:val="0"/>
                <w:color w:val="1A1A1A"/>
                <w:sz w:val="18"/>
              </w:rPr>
              <w:t>Überwachung jährlich, Rezertifizierung vor Ablauf (ISO/IEC 17021-1, Pflicht der Stelle)</w:t>
            </w:r>
          </w:p>
        </w:tc>
        <w:tc>
          <w:tcPr>
            <w:tcW w:type="dxa" w:w="3175"/>
          </w:tcPr>
          <w:p>
            <w:pPr>
              <w:spacing w:after="0" w:before="0"/>
            </w:pPr>
            <w:r/>
            <w:r>
              <w:rPr>
                <w:b w:val="0"/>
                <w:i w:val="0"/>
                <w:color w:val="1A1A1A"/>
                <w:sz w:val="18"/>
              </w:rPr>
              <w:t>Termine für drei Jahre im Kalender, jeweils mit Fest</w:t>
            </w:r>
          </w:p>
        </w:tc>
        <w:tc>
          <w:tcPr>
            <w:tcW w:type="dxa" w:w="3175"/>
          </w:tcPr>
          <w:p>
            <w:pPr>
              <w:spacing w:after="0" w:before="0"/>
            </w:pPr>
            <w:r/>
            <w:r>
              <w:rPr>
                <w:b w:val="0"/>
                <w:i w:val="0"/>
                <w:color w:val="1A1A1A"/>
                <w:sz w:val="18"/>
              </w:rPr>
              <w:t>A.24: Wege der Konformitätsaussage</w:t>
            </w:r>
          </w:p>
        </w:tc>
      </w:tr>
    </w:tbl>
    <w:p>
      <w:pPr>
        <w:spacing w:after="40"/>
      </w:pPr>
    </w:p>
    <w:p>
      <w:pPr>
        <w:pStyle w:val="Heading2"/>
      </w:pPr>
      <w:r>
        <w:t>DACH-Anker: was die Entscheidung über ein Zertifikat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Programm bei der DAkkS beantragt; Entscheidung bis Redaktionsschluss ausstehend</w:t>
            </w:r>
          </w:p>
        </w:tc>
        <w:tc>
          <w:tcPr>
            <w:tcW w:type="dxa" w:w="2721"/>
          </w:tcPr>
          <w:p>
            <w:pPr>
              <w:spacing w:after="0" w:before="0"/>
            </w:pPr>
            <w:r/>
            <w:r>
              <w:rPr>
                <w:b w:val="0"/>
                <w:i w:val="0"/>
                <w:color w:val="1A1A1A"/>
                <w:sz w:val="17"/>
              </w:rPr>
              <w:t>akkreditierte Zertifizierung bis Redaktionsschluss nicht belegt; im Einzelfall fragen</w:t>
            </w:r>
          </w:p>
        </w:tc>
        <w:tc>
          <w:tcPr>
            <w:tcW w:type="dxa" w:w="2721"/>
          </w:tcPr>
          <w:p>
            <w:pPr>
              <w:spacing w:after="0" w:before="0"/>
            </w:pPr>
            <w:r/>
            <w:r>
              <w:rPr>
                <w:b w:val="0"/>
                <w:i w:val="0"/>
                <w:color w:val="1A1A1A"/>
                <w:sz w:val="17"/>
              </w:rPr>
              <w:t>ebenso</w:t>
            </w:r>
          </w:p>
        </w:tc>
      </w:tr>
      <w:tr>
        <w:trPr>
          <w:cantSplit w:val="true"/>
        </w:trPr>
        <w:tc>
          <w:tcPr>
            <w:tcW w:type="dxa" w:w="1474"/>
            <w:shd w:val="clear" w:color="auto" w:fill="F3EFE6"/>
          </w:tcPr>
          <w:p>
            <w:pPr>
              <w:spacing w:after="0" w:before="0"/>
            </w:pPr>
            <w:r/>
            <w:r>
              <w:rPr>
                <w:b w:val="0"/>
                <w:i w:val="0"/>
                <w:color w:val="1A1A1A"/>
                <w:sz w:val="17"/>
              </w:rPr>
              <w:t>Werbung mit dem Zertifikat</w:t>
            </w:r>
          </w:p>
        </w:tc>
        <w:tc>
          <w:tcPr>
            <w:tcW w:type="dxa" w:w="2721"/>
            <w:shd w:val="clear" w:color="auto" w:fill="F3EFE6"/>
          </w:tcPr>
          <w:p>
            <w:pPr>
              <w:spacing w:after="0" w:before="0"/>
            </w:pPr>
            <w:r/>
            <w:r>
              <w:rPr>
                <w:b w:val="0"/>
                <w:i w:val="0"/>
                <w:color w:val="1A1A1A"/>
                <w:sz w:val="17"/>
              </w:rPr>
              <w:t>gegenüber Verbrauchern UWG-Regeln ab 27. September 2026; Siegelfrage offen (4.13)</w:t>
            </w:r>
          </w:p>
        </w:tc>
        <w:tc>
          <w:tcPr>
            <w:tcW w:type="dxa" w:w="2721"/>
            <w:shd w:val="clear" w:color="auto" w:fill="F3EFE6"/>
          </w:tcPr>
          <w:p>
            <w:pPr>
              <w:spacing w:after="0" w:before="0"/>
            </w:pPr>
            <w:r/>
            <w:r>
              <w:rPr>
                <w:b w:val="0"/>
                <w:i w:val="0"/>
                <w:color w:val="1A1A1A"/>
                <w:sz w:val="17"/>
              </w:rPr>
              <w:t>gegenüber Verbrauchern UWG-Novelle BGBl. I Nr. 58/2026; Siegelfrage offen (4.13)</w:t>
            </w:r>
          </w:p>
        </w:tc>
        <w:tc>
          <w:tcPr>
            <w:tcW w:type="dxa" w:w="2721"/>
            <w:shd w:val="clear" w:color="auto" w:fill="F3EFE6"/>
          </w:tcPr>
          <w:p>
            <w:pPr>
              <w:spacing w:after="0" w:before="0"/>
            </w:pPr>
            <w:r/>
            <w:r>
              <w:rPr>
                <w:b w:val="0"/>
                <w:i w:val="0"/>
                <w:color w:val="1A1A1A"/>
                <w:sz w:val="17"/>
              </w:rPr>
              <w:t>UWG Art. 3 Abs. 1 lit. b und lit. x</w:t>
            </w:r>
          </w:p>
        </w:tc>
      </w:tr>
      <w:tr>
        <w:trPr>
          <w:cantSplit w:val="true"/>
        </w:trPr>
        <w:tc>
          <w:tcPr>
            <w:tcW w:type="dxa" w:w="1474"/>
          </w:tcPr>
          <w:p>
            <w:pPr>
              <w:spacing w:after="0" w:before="0"/>
            </w:pPr>
            <w:r/>
            <w:r>
              <w:rPr>
                <w:b w:val="0"/>
                <w:i w:val="0"/>
                <w:color w:val="1A1A1A"/>
                <w:sz w:val="17"/>
              </w:rPr>
              <w:t>Warum große Kunden fragen</w:t>
            </w:r>
          </w:p>
        </w:tc>
        <w:tc>
          <w:tcPr>
            <w:tcW w:type="dxa" w:w="2721"/>
          </w:tcPr>
          <w:p>
            <w:pPr>
              <w:spacing w:after="0" w:before="0"/>
            </w:pPr>
            <w:r/>
            <w:r>
              <w:rPr>
                <w:b w:val="0"/>
                <w:i w:val="0"/>
                <w:color w:val="1A1A1A"/>
                <w:sz w:val="17"/>
              </w:rPr>
              <w:t>Berichtspflicht künftig, nach Umsetzung der Richtlinie (EU) 2026/470, über 1.000 Beschäftigte und 450 Mio. Euro Umsatz</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Obligationenrecht Art. 964a ff. für große Publikumsgesellschaften und beaufsichtigte Finanzunternehmen</w:t>
            </w:r>
          </w:p>
        </w:tc>
      </w:tr>
      <w:tr>
        <w:trPr>
          <w:cantSplit w:val="true"/>
        </w:trPr>
        <w:tc>
          <w:tcPr>
            <w:tcW w:type="dxa" w:w="1474"/>
            <w:shd w:val="clear" w:color="auto" w:fill="F3EFE6"/>
          </w:tcPr>
          <w:p>
            <w:pPr>
              <w:spacing w:after="0" w:before="0"/>
            </w:pPr>
            <w:r/>
            <w:r>
              <w:rPr>
                <w:b w:val="0"/>
                <w:i w:val="0"/>
                <w:color w:val="1A1A1A"/>
                <w:sz w:val="17"/>
              </w:rPr>
              <w:t>Internationale Ebene</w:t>
            </w:r>
          </w:p>
        </w:tc>
        <w:tc>
          <w:tcPr>
            <w:tcW w:type="dxa" w:w="2721"/>
            <w:shd w:val="clear" w:color="auto" w:fill="F3EFE6"/>
          </w:tcPr>
          <w:p>
            <w:pPr>
              <w:spacing w:after="0" w:before="0"/>
            </w:pPr>
            <w:r/>
            <w:r>
              <w:rPr>
                <w:b w:val="0"/>
                <w:i w:val="0"/>
                <w:color w:val="1A1A1A"/>
                <w:sz w:val="17"/>
              </w:rPr>
              <w:t>IAF seit 1. Januar 2026 in die Global ACI überführt; IAF-Dokumente gelten bis zu deren Ersatz weiter</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ebenso</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4.15.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4.15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4.15 — Über eine Zertifizierung entscheiden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