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color w:val="8C5A2B"/>
          <w:sz w:val="18"/>
        </w:rPr>
        <w:t>ARBEITSMATERIAL 4.2</w:t>
      </w:r>
    </w:p>
    <w:p>
      <w:pPr>
        <w:pStyle w:val="Heading1"/>
      </w:pPr>
      <w:r>
        <w:t>Die Zertifizierungsstelle wählen</w:t>
      </w:r>
    </w:p>
    <w:p>
      <w:pPr>
        <w:spacing w:after="0"/>
      </w:pPr>
      <w:r>
        <w:rPr>
          <w:b w:val="0"/>
          <w:i/>
          <w:color w:val="5A5A5A"/>
        </w:rPr>
        <w:t>Abschnitt 4.2 · Die Wahl der Zertifizierungsstelle: Geltungsbereich, Kompetenz und Angebot</w:t>
      </w:r>
    </w:p>
    <w:p>
      <w:pPr>
        <w:spacing w:after="160"/>
      </w:pPr>
      <w:r>
        <w:rPr>
          <w:b w:val="0"/>
          <w:i w:val="0"/>
          <w:color w:val="5A5A5A"/>
          <w:sz w:val="18"/>
        </w:rPr>
        <w:t>Modellfall im Buch: Seefeld in Tirol</w:t>
      </w:r>
    </w:p>
    <w:tbl>
      <w:tblPr>
        <w:tblW w:type="auto" w:w="0"/>
        <w:tblLook w:firstColumn="1" w:firstRow="1" w:lastColumn="0" w:lastRow="0" w:noHBand="0" w:noVBand="1" w:val="04A0"/>
        <w:tblCellMar>
          <w:top w:w="120" w:type="dxa"/>
          <w:left w:w="160" w:type="dxa"/>
          <w:bottom w:w="120" w:type="dxa"/>
          <w:right w:w="160" w:type="dxa"/>
        </w:tblCellMar>
      </w:tblPr>
      <w:tblGrid>
        <w:gridCol w:w="9638"/>
      </w:tblGrid>
      <w:tr>
        <w:tc>
          <w:tcPr>
            <w:tcW w:type="dxa" w:w="9638"/>
            <w:shd w:val="clear" w:color="auto" w:fill="EFE7DC"/>
          </w:tcPr>
          <w:p>
            <w:r/>
            <w:r>
              <w:rPr>
                <w:b/>
                <w:color w:val="8C5A2B"/>
                <w:sz w:val="18"/>
              </w:rPr>
              <w:t>LEITFRAGE</w:t>
              <w:br/>
            </w:r>
            <w:r>
              <w:rPr>
                <w:sz w:val="21"/>
              </w:rPr>
              <w:t>Wenn Sie zwei Angebote für Ihre Zertifizierung vergleichen: Wissen Sie, wer zu Ihnen kommen wird, was dieser Mensch von Veranstaltungen versteht und an welchem Tag er Ihr Haus sieht? Und könnten Sie erklären, wie die Stelle auf die Zahl ihrer Audittage gekommen ist?</w:t>
            </w:r>
          </w:p>
        </w:tc>
      </w:tr>
    </w:tbl>
    <w:p>
      <w:pPr>
        <w:spacing w:after="0"/>
      </w:pPr>
    </w:p>
    <w:p>
      <w:r>
        <w:rPr>
          <w:sz w:val="18"/>
        </w:rPr>
        <w:t>Dieses Blatt gibt das Arbeitsmaterial des Abschnitts in bearbeitbarer Form wieder. Die Texte stammen aus dem Buch; die leeren Spalten sind für die Angaben des eigenen Hauses bestimmt.</w:t>
      </w:r>
    </w:p>
    <w:p>
      <w:pPr>
        <w:pStyle w:val="Heading2"/>
      </w:pPr>
      <w:r>
        <w:t>Das Werkzeug: Kriterien vor dem Preis</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213"/>
        <w:gridCol w:w="3213"/>
        <w:gridCol w:w="3213"/>
      </w:tblGrid>
      <w:tr>
        <w:trPr>
          <w:cantSplit w:val="true"/>
          <w:tblHeader w:val="true"/>
        </w:trPr>
        <w:tc>
          <w:tcPr>
            <w:tcW w:type="dxa" w:w="3213"/>
            <w:shd w:val="clear" w:color="auto" w:fill="8C5A2B"/>
          </w:tcPr>
          <w:p>
            <w:pPr>
              <w:spacing w:after="0" w:before="0"/>
            </w:pPr>
            <w:r/>
            <w:r>
              <w:rPr>
                <w:b/>
                <w:i w:val="0"/>
                <w:color w:val="FFFFFF"/>
                <w:sz w:val="18"/>
              </w:rPr>
              <w:t>Kriterium</w:t>
            </w:r>
          </w:p>
        </w:tc>
        <w:tc>
          <w:tcPr>
            <w:tcW w:type="dxa" w:w="3213"/>
            <w:shd w:val="clear" w:color="auto" w:fill="8C5A2B"/>
          </w:tcPr>
          <w:p>
            <w:pPr>
              <w:spacing w:after="0" w:before="0"/>
            </w:pPr>
            <w:r/>
            <w:r>
              <w:rPr>
                <w:b/>
                <w:i w:val="0"/>
                <w:color w:val="FFFFFF"/>
                <w:sz w:val="18"/>
              </w:rPr>
              <w:t>Frage an die Stelle</w:t>
            </w:r>
          </w:p>
        </w:tc>
        <w:tc>
          <w:tcPr>
            <w:tcW w:type="dxa" w:w="3213"/>
            <w:shd w:val="clear" w:color="auto" w:fill="8C5A2B"/>
          </w:tcPr>
          <w:p>
            <w:pPr>
              <w:spacing w:after="0" w:before="0"/>
            </w:pPr>
            <w:r/>
            <w:r>
              <w:rPr>
                <w:b/>
                <w:i w:val="0"/>
                <w:color w:val="FFFFFF"/>
                <w:sz w:val="18"/>
              </w:rPr>
              <w:t>Was in Seefeld den Ausschlag gab</w:t>
            </w:r>
          </w:p>
        </w:tc>
      </w:tr>
      <w:tr>
        <w:trPr>
          <w:cantSplit w:val="true"/>
        </w:trPr>
        <w:tc>
          <w:tcPr>
            <w:tcW w:type="dxa" w:w="3213"/>
          </w:tcPr>
          <w:p>
            <w:pPr>
              <w:spacing w:after="0" w:before="0"/>
            </w:pPr>
            <w:r/>
            <w:r>
              <w:rPr>
                <w:b w:val="0"/>
                <w:i w:val="0"/>
                <w:color w:val="1A1A1A"/>
                <w:sz w:val="18"/>
              </w:rPr>
              <w:t>Kompetenz</w:t>
            </w:r>
          </w:p>
        </w:tc>
        <w:tc>
          <w:tcPr>
            <w:tcW w:type="dxa" w:w="3213"/>
          </w:tcPr>
          <w:p>
            <w:pPr>
              <w:spacing w:after="0" w:before="0"/>
            </w:pPr>
            <w:r/>
            <w:r>
              <w:rPr>
                <w:b w:val="0"/>
                <w:i w:val="0"/>
                <w:color w:val="1A1A1A"/>
                <w:sz w:val="18"/>
              </w:rPr>
              <w:t>Wer kommt, was hat diese Person an Veranstaltungen auditiert?</w:t>
            </w:r>
          </w:p>
        </w:tc>
        <w:tc>
          <w:tcPr>
            <w:tcW w:type="dxa" w:w="3213"/>
          </w:tcPr>
          <w:p>
            <w:pPr>
              <w:spacing w:after="0" w:before="0"/>
            </w:pPr>
            <w:r/>
            <w:r>
              <w:rPr>
                <w:b w:val="0"/>
                <w:i w:val="0"/>
                <w:color w:val="1A1A1A"/>
                <w:sz w:val="18"/>
              </w:rPr>
              <w:t>Kongressorganisation und Audits von Agenturen und Kongresshäusern</w:t>
            </w:r>
          </w:p>
        </w:tc>
      </w:tr>
      <w:tr>
        <w:trPr>
          <w:cantSplit w:val="true"/>
        </w:trPr>
        <w:tc>
          <w:tcPr>
            <w:tcW w:type="dxa" w:w="3213"/>
            <w:shd w:val="clear" w:color="auto" w:fill="F3EFE6"/>
          </w:tcPr>
          <w:p>
            <w:pPr>
              <w:spacing w:after="0" w:before="0"/>
            </w:pPr>
            <w:r/>
            <w:r>
              <w:rPr>
                <w:b w:val="0"/>
                <w:i w:val="0"/>
                <w:color w:val="1A1A1A"/>
                <w:sz w:val="18"/>
              </w:rPr>
              <w:t>Auditzeit</w:t>
            </w:r>
          </w:p>
        </w:tc>
        <w:tc>
          <w:tcPr>
            <w:tcW w:type="dxa" w:w="3213"/>
            <w:shd w:val="clear" w:color="auto" w:fill="F3EFE6"/>
          </w:tcPr>
          <w:p>
            <w:pPr>
              <w:spacing w:after="0" w:before="0"/>
            </w:pPr>
            <w:r/>
            <w:r>
              <w:rPr>
                <w:b w:val="0"/>
                <w:i w:val="0"/>
                <w:color w:val="1A1A1A"/>
                <w:sz w:val="18"/>
              </w:rPr>
              <w:t>Wie sind die Audittage begründet?</w:t>
            </w:r>
          </w:p>
        </w:tc>
        <w:tc>
          <w:tcPr>
            <w:tcW w:type="dxa" w:w="3213"/>
            <w:shd w:val="clear" w:color="auto" w:fill="F3EFE6"/>
          </w:tcPr>
          <w:p>
            <w:pPr>
              <w:spacing w:after="0" w:before="0"/>
            </w:pPr>
            <w:r/>
            <w:r>
              <w:rPr>
                <w:b w:val="0"/>
                <w:i w:val="0"/>
                <w:color w:val="1A1A1A"/>
                <w:sz w:val="18"/>
              </w:rPr>
              <w:t>Standorte, Arten von Veranstaltungen, Saison statt Verweis auf MD 5</w:t>
            </w:r>
          </w:p>
        </w:tc>
      </w:tr>
      <w:tr>
        <w:trPr>
          <w:cantSplit w:val="true"/>
        </w:trPr>
        <w:tc>
          <w:tcPr>
            <w:tcW w:type="dxa" w:w="3213"/>
          </w:tcPr>
          <w:p>
            <w:pPr>
              <w:spacing w:after="0" w:before="0"/>
            </w:pPr>
            <w:r/>
            <w:r>
              <w:rPr>
                <w:b w:val="0"/>
                <w:i w:val="0"/>
                <w:color w:val="1A1A1A"/>
                <w:sz w:val="18"/>
              </w:rPr>
              <w:t>Termin</w:t>
            </w:r>
          </w:p>
        </w:tc>
        <w:tc>
          <w:tcPr>
            <w:tcW w:type="dxa" w:w="3213"/>
          </w:tcPr>
          <w:p>
            <w:pPr>
              <w:spacing w:after="0" w:before="0"/>
            </w:pPr>
            <w:r/>
            <w:r>
              <w:rPr>
                <w:b w:val="0"/>
                <w:i w:val="0"/>
                <w:color w:val="1A1A1A"/>
                <w:sz w:val="18"/>
              </w:rPr>
              <w:t>An welchem Tag sieht die Stelle eine Veranstaltung?</w:t>
            </w:r>
          </w:p>
        </w:tc>
        <w:tc>
          <w:tcPr>
            <w:tcW w:type="dxa" w:w="3213"/>
          </w:tcPr>
          <w:p>
            <w:pPr>
              <w:spacing w:after="0" w:before="0"/>
            </w:pPr>
            <w:r/>
            <w:r>
              <w:rPr>
                <w:b w:val="0"/>
                <w:i w:val="0"/>
                <w:color w:val="1A1A1A"/>
                <w:sz w:val="18"/>
              </w:rPr>
              <w:t>Stufe 2 über einen Abend mit großem Fest</w:t>
            </w:r>
          </w:p>
        </w:tc>
      </w:tr>
      <w:tr>
        <w:trPr>
          <w:cantSplit w:val="true"/>
        </w:trPr>
        <w:tc>
          <w:tcPr>
            <w:tcW w:type="dxa" w:w="3213"/>
            <w:shd w:val="clear" w:color="auto" w:fill="F3EFE6"/>
          </w:tcPr>
          <w:p>
            <w:pPr>
              <w:spacing w:after="0" w:before="0"/>
            </w:pPr>
            <w:r/>
            <w:r>
              <w:rPr>
                <w:b w:val="0"/>
                <w:i w:val="0"/>
                <w:color w:val="1A1A1A"/>
                <w:sz w:val="18"/>
              </w:rPr>
              <w:t>Standorte</w:t>
            </w:r>
          </w:p>
        </w:tc>
        <w:tc>
          <w:tcPr>
            <w:tcW w:type="dxa" w:w="3213"/>
            <w:shd w:val="clear" w:color="auto" w:fill="F3EFE6"/>
          </w:tcPr>
          <w:p>
            <w:pPr>
              <w:spacing w:after="0" w:before="0"/>
            </w:pPr>
            <w:r/>
            <w:r>
              <w:rPr>
                <w:b w:val="0"/>
                <w:i w:val="0"/>
                <w:color w:val="1A1A1A"/>
                <w:sz w:val="18"/>
              </w:rPr>
              <w:t>Welche Orte im Anwendungsbereich werden besucht?</w:t>
            </w:r>
          </w:p>
        </w:tc>
        <w:tc>
          <w:tcPr>
            <w:tcW w:type="dxa" w:w="3213"/>
            <w:shd w:val="clear" w:color="auto" w:fill="F3EFE6"/>
          </w:tcPr>
          <w:p>
            <w:pPr>
              <w:spacing w:after="0" w:before="0"/>
            </w:pPr>
            <w:r/>
            <w:r>
              <w:rPr>
                <w:b w:val="0"/>
                <w:i w:val="0"/>
                <w:color w:val="1A1A1A"/>
                <w:sz w:val="18"/>
              </w:rPr>
              <w:t>Alm ausdrücklich im Plan</w:t>
            </w:r>
          </w:p>
        </w:tc>
      </w:tr>
      <w:tr>
        <w:trPr>
          <w:cantSplit w:val="true"/>
        </w:trPr>
        <w:tc>
          <w:tcPr>
            <w:tcW w:type="dxa" w:w="3213"/>
          </w:tcPr>
          <w:p>
            <w:pPr>
              <w:spacing w:after="0" w:before="0"/>
            </w:pPr>
            <w:r/>
            <w:r>
              <w:rPr>
                <w:b w:val="0"/>
                <w:i w:val="0"/>
                <w:color w:val="1A1A1A"/>
                <w:sz w:val="18"/>
              </w:rPr>
              <w:t>Gespräche</w:t>
            </w:r>
          </w:p>
        </w:tc>
        <w:tc>
          <w:tcPr>
            <w:tcW w:type="dxa" w:w="3213"/>
          </w:tcPr>
          <w:p>
            <w:pPr>
              <w:spacing w:after="0" w:before="0"/>
            </w:pPr>
            <w:r/>
            <w:r>
              <w:rPr>
                <w:b w:val="0"/>
                <w:i w:val="0"/>
                <w:color w:val="1A1A1A"/>
                <w:sz w:val="18"/>
              </w:rPr>
              <w:t>Wie wird mit Saisonkräften gesprochen?</w:t>
            </w:r>
          </w:p>
        </w:tc>
        <w:tc>
          <w:tcPr>
            <w:tcW w:type="dxa" w:w="3213"/>
          </w:tcPr>
          <w:p>
            <w:pPr>
              <w:spacing w:after="0" w:before="0"/>
            </w:pPr>
            <w:r/>
            <w:r>
              <w:rPr>
                <w:b w:val="0"/>
                <w:i w:val="0"/>
                <w:color w:val="1A1A1A"/>
                <w:sz w:val="18"/>
              </w:rPr>
              <w:t>Gespräche mit Kollegen als Übersetzer, während der Arbeitszeit</w:t>
            </w:r>
          </w:p>
        </w:tc>
      </w:tr>
      <w:tr>
        <w:trPr>
          <w:cantSplit w:val="true"/>
        </w:trPr>
        <w:tc>
          <w:tcPr>
            <w:tcW w:type="dxa" w:w="3213"/>
            <w:shd w:val="clear" w:color="auto" w:fill="F3EFE6"/>
          </w:tcPr>
          <w:p>
            <w:pPr>
              <w:spacing w:after="0" w:before="0"/>
            </w:pPr>
            <w:r/>
            <w:r>
              <w:rPr>
                <w:b w:val="0"/>
                <w:i w:val="0"/>
                <w:color w:val="1A1A1A"/>
                <w:sz w:val="18"/>
              </w:rPr>
              <w:t>Unabhängigkeit</w:t>
            </w:r>
          </w:p>
        </w:tc>
        <w:tc>
          <w:tcPr>
            <w:tcW w:type="dxa" w:w="3213"/>
            <w:shd w:val="clear" w:color="auto" w:fill="F3EFE6"/>
          </w:tcPr>
          <w:p>
            <w:pPr>
              <w:spacing w:after="0" w:before="0"/>
            </w:pPr>
            <w:r/>
            <w:r>
              <w:rPr>
                <w:b w:val="0"/>
                <w:i w:val="0"/>
                <w:color w:val="1A1A1A"/>
                <w:sz w:val="18"/>
              </w:rPr>
              <w:t>Gibt es Beratung oder Verbindungen zu Beratern?</w:t>
            </w:r>
          </w:p>
        </w:tc>
        <w:tc>
          <w:tcPr>
            <w:tcW w:type="dxa" w:w="3213"/>
            <w:shd w:val="clear" w:color="auto" w:fill="F3EFE6"/>
          </w:tcPr>
          <w:p>
            <w:pPr>
              <w:spacing w:after="0" w:before="0"/>
            </w:pPr>
            <w:r/>
            <w:r>
              <w:rPr>
                <w:b w:val="0"/>
                <w:i w:val="0"/>
                <w:color w:val="1A1A1A"/>
                <w:sz w:val="18"/>
              </w:rPr>
              <w:t>schriftliche Absage auf die Bitte um Rat</w:t>
            </w:r>
          </w:p>
        </w:tc>
      </w:tr>
      <w:tr>
        <w:trPr>
          <w:cantSplit w:val="true"/>
        </w:trPr>
        <w:tc>
          <w:tcPr>
            <w:tcW w:type="dxa" w:w="3213"/>
          </w:tcPr>
          <w:p>
            <w:pPr>
              <w:spacing w:after="0" w:before="0"/>
            </w:pPr>
            <w:r/>
            <w:r>
              <w:rPr>
                <w:b w:val="0"/>
                <w:i w:val="0"/>
                <w:color w:val="1A1A1A"/>
                <w:sz w:val="18"/>
              </w:rPr>
              <w:t>Preis</w:t>
            </w:r>
          </w:p>
        </w:tc>
        <w:tc>
          <w:tcPr>
            <w:tcW w:type="dxa" w:w="3213"/>
          </w:tcPr>
          <w:p>
            <w:pPr>
              <w:spacing w:after="0" w:before="0"/>
            </w:pPr>
            <w:r/>
            <w:r>
              <w:rPr>
                <w:b w:val="0"/>
                <w:i w:val="0"/>
                <w:color w:val="1A1A1A"/>
                <w:sz w:val="18"/>
              </w:rPr>
              <w:t>Was kostet der ganze Zyklus mit Reisekosten?</w:t>
            </w:r>
          </w:p>
        </w:tc>
        <w:tc>
          <w:tcPr>
            <w:tcW w:type="dxa" w:w="3213"/>
          </w:tcPr>
          <w:p>
            <w:pPr>
              <w:spacing w:after="0" w:before="0"/>
            </w:pPr>
            <w:r/>
            <w:r>
              <w:rPr>
                <w:b w:val="0"/>
                <w:i w:val="0"/>
                <w:color w:val="1A1A1A"/>
                <w:sz w:val="18"/>
              </w:rPr>
              <w:t>€ 2.500 Unterschied über drei Jahre, vor Reisekosten</w:t>
            </w:r>
          </w:p>
        </w:tc>
      </w:tr>
    </w:tbl>
    <w:p>
      <w:pPr>
        <w:spacing w:after="40"/>
      </w:pPr>
    </w:p>
    <w:p>
      <w:pPr>
        <w:pStyle w:val="Heading2"/>
      </w:pPr>
      <w:r>
        <w:t>Praktische Anwendung: die Zertifizierungsstelle in sieben Schritten wählen</w:t>
      </w:r>
    </w:p>
    <w:p>
      <w:pPr>
        <w:tabs>
          <w:tab w:pos="340" w:val="left"/>
        </w:tabs>
        <w:ind w:left="340" w:hanging="340"/>
      </w:pPr>
      <w:r>
        <w:rPr>
          <w:b/>
          <w:color w:val="8C5A2B"/>
        </w:rPr>
        <w:t>1.</w:t>
        <w:tab/>
      </w:r>
      <w:r>
        <w:rPr>
          <w:b/>
        </w:rPr>
        <w:t>Die Kriterien vor den Angeboten festlegen.</w:t>
      </w:r>
      <w:r>
        <w:t xml:space="preserve"> Schreiben Sie auf, was Sie wissen wollen, bevor Sie Preise lesen. Kompetenz, Auditzeit, Termin, Standorte, Gespräche, Unabhängigkeit, Preis über den Zyklus.</w:t>
      </w:r>
    </w:p>
    <w:p>
      <w:pPr>
        <w:tabs>
          <w:tab w:pos="340" w:val="left"/>
        </w:tabs>
        <w:ind w:left="340" w:hanging="340"/>
      </w:pPr>
      <w:r>
        <w:rPr>
          <w:b/>
          <w:color w:val="8C5A2B"/>
        </w:rPr>
        <w:t>2.</w:t>
        <w:tab/>
      </w:r>
      <w:r>
        <w:rPr>
          <w:b/>
        </w:rPr>
        <w:t>Nach dem Menschen fragen.</w:t>
      </w:r>
      <w:r>
        <w:t xml:space="preserve"> Bitten Sie um Namen und Lebenslauf des vorgesehenen Auditors und um eine Liste der Veranstaltungssysteme, die er geprüft hat. Fragen Sie, was geschieht, wenn er ausfällt.</w:t>
      </w:r>
    </w:p>
    <w:p>
      <w:pPr>
        <w:tabs>
          <w:tab w:pos="340" w:val="left"/>
        </w:tabs>
        <w:ind w:left="340" w:hanging="340"/>
      </w:pPr>
      <w:r>
        <w:rPr>
          <w:b/>
          <w:color w:val="8C5A2B"/>
        </w:rPr>
        <w:t>3.</w:t>
        <w:tab/>
      </w:r>
      <w:r>
        <w:rPr>
          <w:b/>
        </w:rPr>
        <w:t>Die Begründung der Audittage verlangen.</w:t>
      </w:r>
      <w:r>
        <w:t xml:space="preserve"> Eine Stelle sollte erklären, wie sie auf ihre Zahl kommt. Ein Verweis auf IAF MD 5 ist für ISO 20121 keine Begründung.</w:t>
      </w:r>
    </w:p>
    <w:p>
      <w:pPr>
        <w:tabs>
          <w:tab w:pos="340" w:val="left"/>
        </w:tabs>
        <w:ind w:left="340" w:hanging="340"/>
      </w:pPr>
      <w:r>
        <w:rPr>
          <w:b/>
          <w:color w:val="8C5A2B"/>
        </w:rPr>
        <w:t>4.</w:t>
        <w:tab/>
      </w:r>
      <w:r>
        <w:rPr>
          <w:b/>
        </w:rPr>
        <w:t>Den Saisonkalender beilegen.</w:t>
      </w:r>
      <w:r>
        <w:t xml:space="preserve"> Schicken Sie jeder Stelle die Tage mit großen Veranstaltungen und bitten Sie, die zweite Stufe auf einen davon zu legen. Auch die Überwachungen gehören in die Saison.</w:t>
      </w:r>
    </w:p>
    <w:p>
      <w:pPr>
        <w:tabs>
          <w:tab w:pos="340" w:val="left"/>
        </w:tabs>
        <w:ind w:left="340" w:hanging="340"/>
      </w:pPr>
      <w:r>
        <w:rPr>
          <w:b/>
          <w:color w:val="8C5A2B"/>
        </w:rPr>
        <w:t>5.</w:t>
        <w:tab/>
      </w:r>
      <w:r>
        <w:rPr>
          <w:b/>
        </w:rPr>
        <w:t>Alle Standorte nennen.</w:t>
      </w:r>
      <w:r>
        <w:t xml:space="preserve"> Was im Anwendungsbereich steht, muss die Stelle sehen können, auch die Alm, den Pavillon oder den Hof. Fehlt ein Ort im Angebot, fragen Sie nach.</w:t>
      </w:r>
    </w:p>
    <w:p>
      <w:pPr>
        <w:tabs>
          <w:tab w:pos="340" w:val="left"/>
        </w:tabs>
        <w:ind w:left="340" w:hanging="340"/>
      </w:pPr>
      <w:r>
        <w:rPr>
          <w:b/>
          <w:color w:val="8C5A2B"/>
        </w:rPr>
        <w:t>6.</w:t>
        <w:tab/>
      </w:r>
      <w:r>
        <w:rPr>
          <w:b/>
        </w:rPr>
        <w:t>Gespräche planen, nicht improvisieren.</w:t>
      </w:r>
      <w:r>
        <w:t xml:space="preserve"> Klären Sie, wie mit Mitarbeitenden gesprochen wird, die wenig Deutsch sprechen, und legen Sie die Gespräche in die Arbeitszeit.</w:t>
      </w:r>
    </w:p>
    <w:p>
      <w:pPr>
        <w:tabs>
          <w:tab w:pos="340" w:val="left"/>
        </w:tabs>
        <w:ind w:left="340" w:hanging="340"/>
      </w:pPr>
      <w:r>
        <w:rPr>
          <w:b/>
          <w:color w:val="8C5A2B"/>
        </w:rPr>
        <w:t>7.</w:t>
        <w:tab/>
      </w:r>
      <w:r>
        <w:rPr>
          <w:b/>
        </w:rPr>
        <w:t>Den Preis zuletzt und über den Zyklus vergleichen.</w:t>
      </w:r>
      <w:r>
        <w:t xml:space="preserve"> Rechnen Sie Reisekosten für alle Besuche in drei Jahren ein. Erst dann ist ein Unterschied ein Unterschied.</w:t>
      </w:r>
    </w:p>
    <w:p>
      <w:pPr>
        <w:keepNext/>
        <w:spacing w:after="40"/>
      </w:pPr>
      <w:r>
        <w:rPr>
          <w:b/>
          <w:i w:val="0"/>
          <w:color w:val="8C5A2B"/>
          <w:sz w:val="18"/>
        </w:rPr>
        <w:t>Umsetzung im eigenen Haus</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4649"/>
        <w:gridCol w:w="2041"/>
        <w:gridCol w:w="1474"/>
        <w:gridCol w:w="1474"/>
      </w:tblGrid>
      <w:tr>
        <w:trPr>
          <w:cantSplit w:val="true"/>
          <w:tblHeader w:val="true"/>
        </w:trPr>
        <w:tc>
          <w:tcPr>
            <w:tcW w:type="dxa" w:w="4649"/>
            <w:shd w:val="clear" w:color="auto" w:fill="8C5A2B"/>
          </w:tcPr>
          <w:p>
            <w:pPr>
              <w:spacing w:after="0" w:before="0"/>
            </w:pPr>
            <w:r/>
            <w:r>
              <w:rPr>
                <w:b/>
                <w:i w:val="0"/>
                <w:color w:val="FFFFFF"/>
                <w:sz w:val="17"/>
              </w:rPr>
              <w:t>Schritt</w:t>
            </w:r>
          </w:p>
        </w:tc>
        <w:tc>
          <w:tcPr>
            <w:tcW w:type="dxa" w:w="2041"/>
            <w:shd w:val="clear" w:color="auto" w:fill="8C5A2B"/>
          </w:tcPr>
          <w:p>
            <w:pPr>
              <w:spacing w:after="0" w:before="0"/>
            </w:pPr>
            <w:r/>
            <w:r>
              <w:rPr>
                <w:b/>
                <w:i w:val="0"/>
                <w:color w:val="FFFFFF"/>
                <w:sz w:val="17"/>
              </w:rPr>
              <w:t>Verantwortlich</w:t>
            </w:r>
          </w:p>
        </w:tc>
        <w:tc>
          <w:tcPr>
            <w:tcW w:type="dxa" w:w="1474"/>
            <w:shd w:val="clear" w:color="auto" w:fill="8C5A2B"/>
          </w:tcPr>
          <w:p>
            <w:pPr>
              <w:spacing w:after="0" w:before="0"/>
            </w:pPr>
            <w:r/>
            <w:r>
              <w:rPr>
                <w:b/>
                <w:i w:val="0"/>
                <w:color w:val="FFFFFF"/>
                <w:sz w:val="17"/>
              </w:rPr>
              <w:t>Termin</w:t>
            </w:r>
          </w:p>
        </w:tc>
        <w:tc>
          <w:tcPr>
            <w:tcW w:type="dxa" w:w="1474"/>
            <w:shd w:val="clear" w:color="auto" w:fill="8C5A2B"/>
          </w:tcPr>
          <w:p>
            <w:pPr>
              <w:spacing w:after="0" w:before="0"/>
            </w:pPr>
            <w:r/>
            <w:r>
              <w:rPr>
                <w:b/>
                <w:i w:val="0"/>
                <w:color w:val="FFFFFF"/>
                <w:sz w:val="17"/>
              </w:rPr>
              <w:t>Erledigt</w:t>
            </w:r>
          </w:p>
        </w:tc>
      </w:tr>
      <w:tr>
        <w:trPr>
          <w:cantSplit w:val="true"/>
        </w:trPr>
        <w:tc>
          <w:tcPr>
            <w:tcW w:type="dxa" w:w="4649"/>
          </w:tcPr>
          <w:p>
            <w:pPr>
              <w:spacing w:after="0" w:before="0"/>
            </w:pPr>
            <w:r/>
            <w:r>
              <w:rPr>
                <w:b w:val="0"/>
                <w:i w:val="0"/>
                <w:color w:val="1A1A1A"/>
                <w:sz w:val="17"/>
              </w:rPr>
              <w:t>1. Die Kriterien vor den Angeboten festlegen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2. Nach dem Menschen fragen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3. Die Begründung der Audittage verlangen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4. Den Saisonkalender beilegen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5. Alle Standorte nennen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6. Gespräche planen, nicht improvisieren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7. Den Preis zuletzt und über den Zyklus vergleichen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bl>
    <w:p>
      <w:pPr>
        <w:spacing w:after="40"/>
      </w:pPr>
    </w:p>
    <w:p>
      <w:pPr>
        <w:pStyle w:val="Heading2"/>
      </w:pPr>
      <w:r>
        <w:t>Prüf-Checkliste</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5216"/>
        <w:gridCol w:w="680"/>
        <w:gridCol w:w="680"/>
        <w:gridCol w:w="3061"/>
      </w:tblGrid>
      <w:tr>
        <w:trPr>
          <w:cantSplit w:val="true"/>
          <w:tblHeader w:val="true"/>
        </w:trPr>
        <w:tc>
          <w:tcPr>
            <w:tcW w:type="dxa" w:w="5216"/>
            <w:shd w:val="clear" w:color="auto" w:fill="8C5A2B"/>
          </w:tcPr>
          <w:p>
            <w:pPr>
              <w:spacing w:after="0" w:before="0"/>
            </w:pPr>
            <w:r/>
            <w:r>
              <w:rPr>
                <w:b/>
                <w:i w:val="0"/>
                <w:color w:val="FFFFFF"/>
                <w:sz w:val="18"/>
              </w:rPr>
              <w:t>Frage</w:t>
            </w:r>
          </w:p>
        </w:tc>
        <w:tc>
          <w:tcPr>
            <w:tcW w:type="dxa" w:w="680"/>
            <w:shd w:val="clear" w:color="auto" w:fill="8C5A2B"/>
          </w:tcPr>
          <w:p>
            <w:pPr>
              <w:spacing w:after="0" w:before="0"/>
            </w:pPr>
            <w:r/>
            <w:r>
              <w:rPr>
                <w:b/>
                <w:i w:val="0"/>
                <w:color w:val="FFFFFF"/>
                <w:sz w:val="18"/>
              </w:rPr>
              <w:t>Ja</w:t>
            </w:r>
          </w:p>
        </w:tc>
        <w:tc>
          <w:tcPr>
            <w:tcW w:type="dxa" w:w="680"/>
            <w:shd w:val="clear" w:color="auto" w:fill="8C5A2B"/>
          </w:tcPr>
          <w:p>
            <w:pPr>
              <w:spacing w:after="0" w:before="0"/>
            </w:pPr>
            <w:r/>
            <w:r>
              <w:rPr>
                <w:b/>
                <w:i w:val="0"/>
                <w:color w:val="FFFFFF"/>
                <w:sz w:val="18"/>
              </w:rPr>
              <w:t>Nein</w:t>
            </w:r>
          </w:p>
        </w:tc>
        <w:tc>
          <w:tcPr>
            <w:tcW w:type="dxa" w:w="3061"/>
            <w:shd w:val="clear" w:color="auto" w:fill="8C5A2B"/>
          </w:tcPr>
          <w:p>
            <w:pPr>
              <w:spacing w:after="0" w:before="0"/>
            </w:pPr>
            <w:r/>
            <w:r>
              <w:rPr>
                <w:b/>
                <w:i w:val="0"/>
                <w:color w:val="FFFFFF"/>
                <w:sz w:val="18"/>
              </w:rPr>
              <w:t>Nachweis / Bemerkung</w:t>
            </w:r>
          </w:p>
        </w:tc>
      </w:tr>
      <w:tr>
        <w:trPr>
          <w:cantSplit w:val="true"/>
        </w:trPr>
        <w:tc>
          <w:tcPr>
            <w:tcW w:type="dxa" w:w="5216"/>
          </w:tcPr>
          <w:p>
            <w:pPr>
              <w:spacing w:after="0" w:before="0"/>
            </w:pPr>
            <w:r/>
            <w:r>
              <w:rPr>
                <w:b w:val="0"/>
                <w:i w:val="0"/>
                <w:color w:val="1A1A1A"/>
                <w:sz w:val="18"/>
              </w:rPr>
              <w:t>Haben wir die Kriterien festgelegt, bevor wir die Preise gelesen haben?</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Kennen wir Namen und Lebenslauf des vorgesehenen Auditors?</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Hat er Systeme für Veranstaltungen auditiert, und welche?</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Können wir erklären, wie die Stelle ihre Audittage begründet?</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Liegt die zweite Stufe auf einem Tag mit einer großen Veranstaltung?</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Stehen alle Orte des Anwendungsbereichs im Plan der Stelle?</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Ist geklärt, wie und wann mit Saisonkräften gesprochen wird?</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Haben wir die Kosten über drei Jahre mit Reisekosten verglichen?</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bl>
    <w:p>
      <w:pPr>
        <w:spacing w:after="40"/>
      </w:pPr>
    </w:p>
    <w:p>
      <w:pPr>
        <w:pStyle w:val="Heading2"/>
      </w:pPr>
      <w:r>
        <w:t>Häufige Fehler</w:t>
      </w:r>
    </w:p>
    <w:p>
      <w:pPr>
        <w:tabs>
          <w:tab w:pos="340" w:val="left"/>
        </w:tabs>
        <w:ind w:left="340" w:hanging="340"/>
      </w:pPr>
      <w:r>
        <w:rPr>
          <w:color w:val="8C5A2B"/>
        </w:rPr>
        <w:t>–</w:t>
        <w:tab/>
      </w:r>
      <w:r>
        <w:rPr>
          <w:b/>
        </w:rPr>
        <w:t>Nach dem Preis auf der ersten Seite wählen.</w:t>
      </w:r>
      <w:r>
        <w:t xml:space="preserve"> Er sagt nichts darüber, was geprüft wird.</w:t>
      </w:r>
    </w:p>
    <w:p>
      <w:pPr>
        <w:tabs>
          <w:tab w:pos="340" w:val="left"/>
        </w:tabs>
        <w:ind w:left="340" w:hanging="340"/>
      </w:pPr>
      <w:r>
        <w:rPr>
          <w:color w:val="8C5A2B"/>
        </w:rPr>
        <w:t>–</w:t>
        <w:tab/>
      </w:r>
      <w:r>
        <w:rPr>
          <w:b/>
        </w:rPr>
        <w:t>Audittage mit IAF MD 5 begründet hinnehmen.</w:t>
      </w:r>
      <w:r>
        <w:t xml:space="preserve"> Das Dokument gilt für ISO 20121 nicht.</w:t>
      </w:r>
    </w:p>
    <w:p>
      <w:pPr>
        <w:tabs>
          <w:tab w:pos="340" w:val="left"/>
        </w:tabs>
        <w:ind w:left="340" w:hanging="340"/>
      </w:pPr>
      <w:r>
        <w:rPr>
          <w:color w:val="8C5A2B"/>
        </w:rPr>
        <w:t>–</w:t>
        <w:tab/>
      </w:r>
      <w:r>
        <w:rPr>
          <w:b/>
        </w:rPr>
        <w:t>Das Audit in die ruhigste Woche legen.</w:t>
      </w:r>
      <w:r>
        <w:t xml:space="preserve"> Dann prüft die Stelle Papiere, keine Veranstaltung.</w:t>
      </w:r>
    </w:p>
    <w:p>
      <w:pPr>
        <w:tabs>
          <w:tab w:pos="340" w:val="left"/>
        </w:tabs>
        <w:ind w:left="340" w:hanging="340"/>
      </w:pPr>
      <w:r>
        <w:rPr>
          <w:color w:val="8C5A2B"/>
        </w:rPr>
        <w:t>–</w:t>
        <w:tab/>
      </w:r>
      <w:r>
        <w:rPr>
          <w:b/>
        </w:rPr>
        <w:t>Nicht nach dem Auditor fragen.</w:t>
      </w:r>
      <w:r>
        <w:t xml:space="preserve"> Beauftragt wird ein Mensch, nicht ein Briefkopf.</w:t>
      </w:r>
    </w:p>
    <w:p>
      <w:pPr>
        <w:tabs>
          <w:tab w:pos="340" w:val="left"/>
        </w:tabs>
        <w:ind w:left="340" w:hanging="340"/>
      </w:pPr>
      <w:r>
        <w:rPr>
          <w:color w:val="8C5A2B"/>
        </w:rPr>
        <w:t>–</w:t>
        <w:tab/>
      </w:r>
      <w:r>
        <w:rPr>
          <w:b/>
        </w:rPr>
        <w:t>Einen Standort weglassen.</w:t>
      </w:r>
      <w:r>
        <w:t xml:space="preserve"> Was im Anwendungsbereich steht und nicht besucht wird, bleibt ungeprüft.</w:t>
      </w:r>
    </w:p>
    <w:p>
      <w:pPr>
        <w:tabs>
          <w:tab w:pos="340" w:val="left"/>
        </w:tabs>
        <w:ind w:left="340" w:hanging="340"/>
      </w:pPr>
      <w:r>
        <w:rPr>
          <w:color w:val="8C5A2B"/>
        </w:rPr>
        <w:t>–</w:t>
        <w:tab/>
      </w:r>
      <w:r>
        <w:rPr>
          <w:b/>
        </w:rPr>
        <w:t>Die Stelle um Rat bitten.</w:t>
      </w:r>
      <w:r>
        <w:t xml:space="preserve"> Sie darf nicht beraten, und die Bitte zeigt, dass das Haus ihre Rolle verkennt.</w:t>
      </w:r>
    </w:p>
    <w:p>
      <w:pPr>
        <w:pStyle w:val="Heading2"/>
      </w:pPr>
      <w:r>
        <w:t>Modellrechnung</w:t>
      </w:r>
    </w:p>
    <w:p>
      <w:r>
        <w:rPr>
          <w:b w:val="0"/>
          <w:i/>
          <w:color w:val="5A5A5A"/>
          <w:sz w:val="18"/>
        </w:rPr>
        <w:t>Modellannahme, kein belegter Branchenwert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175"/>
        <w:gridCol w:w="1474"/>
        <w:gridCol w:w="3175"/>
        <w:gridCol w:w="1814"/>
      </w:tblGrid>
      <w:tr>
        <w:trPr>
          <w:cantSplit w:val="true"/>
          <w:tblHeader w:val="true"/>
        </w:trPr>
        <w:tc>
          <w:tcPr>
            <w:tcW w:type="dxa" w:w="3175"/>
            <w:shd w:val="clear" w:color="auto" w:fill="8C5A2B"/>
          </w:tcPr>
          <w:p>
            <w:pPr>
              <w:spacing w:after="0" w:before="0"/>
            </w:pPr>
            <w:r/>
            <w:r>
              <w:rPr>
                <w:b/>
                <w:i w:val="0"/>
                <w:color w:val="FFFFFF"/>
                <w:sz w:val="18"/>
              </w:rPr>
              <w:t>Posten</w:t>
            </w:r>
          </w:p>
        </w:tc>
        <w:tc>
          <w:tcPr>
            <w:tcW w:type="dxa" w:w="1474"/>
            <w:shd w:val="clear" w:color="auto" w:fill="8C5A2B"/>
          </w:tcPr>
          <w:p>
            <w:pPr>
              <w:spacing w:after="0" w:before="0"/>
            </w:pPr>
            <w:r/>
            <w:r>
              <w:rPr>
                <w:b/>
                <w:i w:val="0"/>
                <w:color w:val="FFFFFF"/>
                <w:sz w:val="18"/>
              </w:rPr>
              <w:t>Betrag</w:t>
            </w:r>
          </w:p>
        </w:tc>
        <w:tc>
          <w:tcPr>
            <w:tcW w:type="dxa" w:w="3175"/>
            <w:shd w:val="clear" w:color="auto" w:fill="8C5A2B"/>
          </w:tcPr>
          <w:p>
            <w:pPr>
              <w:spacing w:after="0" w:before="0"/>
            </w:pPr>
            <w:r/>
            <w:r>
              <w:rPr>
                <w:b/>
                <w:i w:val="0"/>
                <w:color w:val="FFFFFF"/>
                <w:sz w:val="18"/>
              </w:rPr>
              <w:t>Anmerkung</w:t>
            </w:r>
          </w:p>
        </w:tc>
        <w:tc>
          <w:tcPr>
            <w:tcW w:type="dxa" w:w="1814"/>
            <w:shd w:val="clear" w:color="auto" w:fill="8C5A2B"/>
          </w:tcPr>
          <w:p>
            <w:pPr>
              <w:spacing w:after="0" w:before="0"/>
            </w:pPr>
            <w:r/>
            <w:r>
              <w:rPr>
                <w:b/>
                <w:i w:val="0"/>
                <w:color w:val="FFFFFF"/>
                <w:sz w:val="18"/>
              </w:rPr>
              <w:t>Eigener Wert</w:t>
            </w:r>
          </w:p>
        </w:tc>
      </w:tr>
      <w:tr>
        <w:trPr>
          <w:cantSplit w:val="true"/>
        </w:trPr>
        <w:tc>
          <w:tcPr>
            <w:tcW w:type="dxa" w:w="3175"/>
          </w:tcPr>
          <w:p>
            <w:pPr>
              <w:spacing w:after="0" w:before="0"/>
            </w:pPr>
            <w:r/>
            <w:r>
              <w:rPr>
                <w:b w:val="0"/>
                <w:i w:val="0"/>
                <w:color w:val="1A1A1A"/>
                <w:sz w:val="18"/>
              </w:rPr>
              <w:t>Angebot 1, drei Jahre</w:t>
            </w:r>
          </w:p>
        </w:tc>
        <w:tc>
          <w:tcPr>
            <w:tcW w:type="dxa" w:w="1474"/>
          </w:tcPr>
          <w:p>
            <w:pPr>
              <w:spacing w:after="0" w:before="0"/>
            </w:pPr>
            <w:r/>
            <w:r>
              <w:rPr>
                <w:b w:val="0"/>
                <w:i w:val="0"/>
                <w:color w:val="1A1A1A"/>
                <w:sz w:val="18"/>
              </w:rPr>
              <w:t>€ 9.400</w:t>
            </w:r>
          </w:p>
        </w:tc>
        <w:tc>
          <w:tcPr>
            <w:tcW w:type="dxa" w:w="3175"/>
          </w:tcPr>
          <w:p>
            <w:pPr>
              <w:spacing w:after="0" w:before="0"/>
            </w:pPr>
            <w:r/>
            <w:r>
              <w:rPr>
                <w:b w:val="0"/>
                <w:i w:val="0"/>
                <w:color w:val="1A1A1A"/>
                <w:sz w:val="18"/>
              </w:rPr>
              <w:t>zuzüglich Reisekosten nach Aufwand</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Reisekosten Angebot 1, sechs Besuche geschätzt</w:t>
            </w:r>
          </w:p>
        </w:tc>
        <w:tc>
          <w:tcPr>
            <w:tcW w:type="dxa" w:w="1474"/>
            <w:shd w:val="clear" w:color="auto" w:fill="F3EFE6"/>
          </w:tcPr>
          <w:p>
            <w:pPr>
              <w:spacing w:after="0" w:before="0"/>
            </w:pPr>
            <w:r/>
            <w:r>
              <w:rPr>
                <w:b w:val="0"/>
                <w:i w:val="0"/>
                <w:color w:val="1A1A1A"/>
                <w:sz w:val="18"/>
              </w:rPr>
              <w:t>€ 2.700</w:t>
            </w:r>
          </w:p>
        </w:tc>
        <w:tc>
          <w:tcPr>
            <w:tcW w:type="dxa" w:w="3175"/>
            <w:shd w:val="clear" w:color="auto" w:fill="F3EFE6"/>
          </w:tcPr>
          <w:p>
            <w:pPr>
              <w:spacing w:after="0" w:before="0"/>
            </w:pPr>
            <w:r/>
            <w:r>
              <w:rPr>
                <w:b w:val="0"/>
                <w:i w:val="0"/>
                <w:color w:val="1A1A1A"/>
                <w:sz w:val="18"/>
              </w:rPr>
              <w:t>Flug, Mietwagen, Übernachtung</w:t>
            </w:r>
          </w:p>
        </w:tc>
        <w:tc>
          <w:tcPr>
            <w:tcW w:type="dxa" w:w="1814"/>
            <w:shd w:val="clear" w:color="auto" w:fill="F3EFE6"/>
          </w:tcPr>
          <w:p>
            <w:pPr>
              <w:spacing w:after="0" w:before="0"/>
            </w:pPr>
            <w:r/>
            <w:r>
              <w:rPr>
                <w:b w:val="0"/>
                <w:i w:val="0"/>
                <w:color w:val="1A1A1A"/>
                <w:sz w:val="18"/>
              </w:rPr>
            </w:r>
          </w:p>
        </w:tc>
      </w:tr>
      <w:tr>
        <w:trPr>
          <w:cantSplit w:val="true"/>
        </w:trPr>
        <w:tc>
          <w:tcPr>
            <w:tcW w:type="dxa" w:w="3175"/>
          </w:tcPr>
          <w:p>
            <w:pPr>
              <w:spacing w:after="0" w:before="0"/>
            </w:pPr>
            <w:r/>
            <w:r>
              <w:rPr>
                <w:b w:val="0"/>
                <w:i w:val="0"/>
                <w:color w:val="1A1A1A"/>
                <w:sz w:val="18"/>
              </w:rPr>
              <w:t>Angebot 2, drei Jahre</w:t>
            </w:r>
          </w:p>
        </w:tc>
        <w:tc>
          <w:tcPr>
            <w:tcW w:type="dxa" w:w="1474"/>
          </w:tcPr>
          <w:p>
            <w:pPr>
              <w:spacing w:after="0" w:before="0"/>
            </w:pPr>
            <w:r/>
            <w:r>
              <w:rPr>
                <w:b w:val="0"/>
                <w:i w:val="0"/>
                <w:color w:val="1A1A1A"/>
                <w:sz w:val="18"/>
              </w:rPr>
              <w:t>€ 11.900</w:t>
            </w:r>
          </w:p>
        </w:tc>
        <w:tc>
          <w:tcPr>
            <w:tcW w:type="dxa" w:w="3175"/>
          </w:tcPr>
          <w:p>
            <w:pPr>
              <w:spacing w:after="0" w:before="0"/>
            </w:pPr>
            <w:r/>
            <w:r>
              <w:rPr>
                <w:b w:val="0"/>
                <w:i w:val="0"/>
                <w:color w:val="1A1A1A"/>
                <w:sz w:val="18"/>
              </w:rPr>
              <w:t>Reisekosten eingeschlossen</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Vergleich: Lebensläufe, Begründungen, Saisonkalender</w:t>
            </w:r>
          </w:p>
        </w:tc>
        <w:tc>
          <w:tcPr>
            <w:tcW w:type="dxa" w:w="1474"/>
            <w:shd w:val="clear" w:color="auto" w:fill="F3EFE6"/>
          </w:tcPr>
          <w:p>
            <w:pPr>
              <w:spacing w:after="0" w:before="0"/>
            </w:pPr>
            <w:r/>
            <w:r>
              <w:rPr>
                <w:b w:val="0"/>
                <w:i w:val="0"/>
                <w:color w:val="1A1A1A"/>
                <w:sz w:val="18"/>
              </w:rPr>
              <w:t>7 Stunden</w:t>
            </w:r>
          </w:p>
        </w:tc>
        <w:tc>
          <w:tcPr>
            <w:tcW w:type="dxa" w:w="3175"/>
            <w:shd w:val="clear" w:color="auto" w:fill="F3EFE6"/>
          </w:tcPr>
          <w:p>
            <w:pPr>
              <w:spacing w:after="0" w:before="0"/>
            </w:pPr>
            <w:r/>
            <w:r>
              <w:rPr>
                <w:b w:val="0"/>
                <w:i w:val="0"/>
                <w:color w:val="1A1A1A"/>
                <w:sz w:val="18"/>
              </w:rPr>
              <w:t>Direktorin und Eventleiter</w:t>
            </w:r>
          </w:p>
        </w:tc>
        <w:tc>
          <w:tcPr>
            <w:tcW w:type="dxa" w:w="1814"/>
            <w:shd w:val="clear" w:color="auto" w:fill="F3EFE6"/>
          </w:tcPr>
          <w:p>
            <w:pPr>
              <w:spacing w:after="0" w:before="0"/>
            </w:pPr>
            <w:r/>
            <w:r>
              <w:rPr>
                <w:b w:val="0"/>
                <w:i w:val="0"/>
                <w:color w:val="1A1A1A"/>
                <w:sz w:val="18"/>
              </w:rPr>
            </w:r>
          </w:p>
        </w:tc>
      </w:tr>
      <w:tr>
        <w:trPr>
          <w:cantSplit w:val="true"/>
        </w:trPr>
        <w:tc>
          <w:tcPr>
            <w:tcW w:type="dxa" w:w="3175"/>
          </w:tcPr>
          <w:p>
            <w:pPr>
              <w:spacing w:after="0" w:before="0"/>
            </w:pPr>
            <w:r/>
            <w:r>
              <w:rPr>
                <w:b w:val="0"/>
                <w:i w:val="0"/>
                <w:color w:val="1A1A1A"/>
                <w:sz w:val="18"/>
              </w:rPr>
              <w:t>Rahmenvertrag eines Firmenkunden mit Almabenden</w:t>
            </w:r>
          </w:p>
        </w:tc>
        <w:tc>
          <w:tcPr>
            <w:tcW w:type="dxa" w:w="1474"/>
          </w:tcPr>
          <w:p>
            <w:pPr>
              <w:spacing w:after="0" w:before="0"/>
            </w:pPr>
            <w:r/>
            <w:r>
              <w:rPr>
                <w:b w:val="0"/>
                <w:i w:val="0"/>
                <w:color w:val="1A1A1A"/>
                <w:sz w:val="18"/>
              </w:rPr>
              <w:t>€ 165.000</w:t>
            </w:r>
          </w:p>
        </w:tc>
        <w:tc>
          <w:tcPr>
            <w:tcW w:type="dxa" w:w="3175"/>
          </w:tcPr>
          <w:p>
            <w:pPr>
              <w:spacing w:after="0" w:before="0"/>
            </w:pPr>
            <w:r/>
            <w:r>
              <w:rPr>
                <w:b w:val="0"/>
                <w:i w:val="0"/>
                <w:color w:val="1A1A1A"/>
                <w:sz w:val="18"/>
              </w:rPr>
              <w:t>Umsatz je Jahr, nicht Gewinn</w:t>
            </w:r>
          </w:p>
        </w:tc>
        <w:tc>
          <w:tcPr>
            <w:tcW w:type="dxa" w:w="1814"/>
          </w:tcPr>
          <w:p>
            <w:pPr>
              <w:spacing w:after="0" w:before="0"/>
            </w:pPr>
            <w:r/>
            <w:r>
              <w:rPr>
                <w:b w:val="0"/>
                <w:i w:val="0"/>
                <w:color w:val="1A1A1A"/>
                <w:sz w:val="18"/>
              </w:rPr>
            </w:r>
          </w:p>
        </w:tc>
      </w:tr>
    </w:tbl>
    <w:p>
      <w:pPr>
        <w:spacing w:after="40"/>
      </w:pPr>
    </w:p>
    <w:p>
      <w:r>
        <w:rPr>
          <w:b w:val="0"/>
          <w:i w:val="0"/>
        </w:rPr>
        <w:t>Mit den geschätzten Reisekosten liegt Angebot 1 nicht mehr 2.500 Euro unter Angebot 2, sondern 200 Euro darüber. Die Rechnung hängt an einer Schätzung und soll nicht mehr sagen als das: Der Preis auf der ersten Seite war nicht der Preis. Die letzte Zeile zeigt, was ein Audit verfehlen kann, das die Almabende nie sieht. Fragt der Firmenkunde nach einem Abend, der schiefging, nützt ihm ein Zertifikat wenig, dessen Auditor nie auf der Alm war. Der Betrag ist Umsatz, nicht Gewinn, und er hängt nicht allein am Zertifikat.</w:t>
      </w:r>
    </w:p>
    <w:p>
      <w:pPr>
        <w:pStyle w:val="Heading2"/>
      </w:pPr>
      <w:r>
        <w:t>Was verlangt ist, und was nur Anleitung ist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288"/>
        <w:gridCol w:w="3175"/>
        <w:gridCol w:w="3175"/>
      </w:tblGrid>
      <w:tr>
        <w:trPr>
          <w:cantSplit w:val="true"/>
          <w:tblHeader w:val="true"/>
        </w:trPr>
        <w:tc>
          <w:tcPr>
            <w:tcW w:type="dxa" w:w="3288"/>
            <w:shd w:val="clear" w:color="auto" w:fill="8C5A2B"/>
          </w:tcPr>
          <w:p>
            <w:pPr>
              <w:spacing w:after="0" w:before="0"/>
            </w:pPr>
            <w:r/>
            <w:r>
              <w:rPr>
                <w:b/>
                <w:i w:val="0"/>
                <w:color w:val="FFFFFF"/>
                <w:sz w:val="18"/>
              </w:rPr>
              <w:t>Verlangt</w:t>
            </w:r>
          </w:p>
        </w:tc>
        <w:tc>
          <w:tcPr>
            <w:tcW w:type="dxa" w:w="3175"/>
            <w:shd w:val="clear" w:color="auto" w:fill="8C5A2B"/>
          </w:tcPr>
          <w:p>
            <w:pPr>
              <w:spacing w:after="0" w:before="0"/>
            </w:pPr>
            <w:r/>
            <w:r>
              <w:rPr>
                <w:b/>
                <w:i w:val="0"/>
                <w:color w:val="FFFFFF"/>
                <w:sz w:val="18"/>
              </w:rPr>
              <w:t>Was es im Hotel belegt</w:t>
            </w:r>
          </w:p>
        </w:tc>
        <w:tc>
          <w:tcPr>
            <w:tcW w:type="dxa" w:w="3175"/>
            <w:shd w:val="clear" w:color="auto" w:fill="8C5A2B"/>
          </w:tcPr>
          <w:p>
            <w:pPr>
              <w:spacing w:after="0" w:before="0"/>
            </w:pPr>
            <w:r/>
            <w:r>
              <w:rPr>
                <w:b/>
                <w:i w:val="0"/>
                <w:color w:val="FFFFFF"/>
                <w:sz w:val="18"/>
              </w:rPr>
              <w:t>Nur Leitfaden oder Methode</w:t>
            </w:r>
          </w:p>
        </w:tc>
      </w:tr>
      <w:tr>
        <w:trPr>
          <w:cantSplit w:val="true"/>
        </w:trPr>
        <w:tc>
          <w:tcPr>
            <w:tcW w:type="dxa" w:w="3288"/>
          </w:tcPr>
          <w:p>
            <w:pPr>
              <w:spacing w:after="0" w:before="0"/>
            </w:pPr>
            <w:r/>
            <w:r>
              <w:rPr>
                <w:b w:val="0"/>
                <w:i w:val="0"/>
                <w:color w:val="1A1A1A"/>
                <w:sz w:val="18"/>
              </w:rPr>
              <w:t>Stelle: kompetentes Personal für Veranstaltungssysteme (ISO/IEC TS 17021-4)</w:t>
            </w:r>
          </w:p>
        </w:tc>
        <w:tc>
          <w:tcPr>
            <w:tcW w:type="dxa" w:w="3175"/>
          </w:tcPr>
          <w:p>
            <w:pPr>
              <w:spacing w:after="0" w:before="0"/>
            </w:pPr>
            <w:r/>
            <w:r>
              <w:rPr>
                <w:b w:val="0"/>
                <w:i w:val="0"/>
                <w:color w:val="1A1A1A"/>
                <w:sz w:val="18"/>
              </w:rPr>
              <w:t>Name und Lebenslauf der Auditorin, mit Veranstaltungsaudits</w:t>
            </w:r>
          </w:p>
        </w:tc>
        <w:tc>
          <w:tcPr>
            <w:tcW w:type="dxa" w:w="3175"/>
          </w:tcPr>
          <w:p>
            <w:pPr>
              <w:spacing w:after="0" w:before="0"/>
            </w:pPr>
            <w:r/>
            <w:r>
              <w:rPr>
                <w:b w:val="0"/>
                <w:i w:val="0"/>
                <w:color w:val="1A1A1A"/>
                <w:sz w:val="18"/>
              </w:rPr>
              <w:t>ISO 19011:2026: Kompetenz geplant bewerten und erhalten</w:t>
            </w:r>
          </w:p>
        </w:tc>
      </w:tr>
      <w:tr>
        <w:trPr>
          <w:cantSplit w:val="true"/>
        </w:trPr>
        <w:tc>
          <w:tcPr>
            <w:tcW w:type="dxa" w:w="3288"/>
            <w:shd w:val="clear" w:color="auto" w:fill="F3EFE6"/>
          </w:tcPr>
          <w:p>
            <w:pPr>
              <w:spacing w:after="0" w:before="0"/>
            </w:pPr>
            <w:r/>
            <w:r>
              <w:rPr>
                <w:b w:val="0"/>
                <w:i w:val="0"/>
                <w:color w:val="1A1A1A"/>
                <w:sz w:val="18"/>
              </w:rPr>
              <w:t>Stelle: keine Managementsystem-Beratung (ISO/IEC 17021-1)</w:t>
            </w:r>
          </w:p>
        </w:tc>
        <w:tc>
          <w:tcPr>
            <w:tcW w:type="dxa" w:w="3175"/>
            <w:shd w:val="clear" w:color="auto" w:fill="F3EFE6"/>
          </w:tcPr>
          <w:p>
            <w:pPr>
              <w:spacing w:after="0" w:before="0"/>
            </w:pPr>
            <w:r/>
            <w:r>
              <w:rPr>
                <w:b w:val="0"/>
                <w:i w:val="0"/>
                <w:color w:val="1A1A1A"/>
                <w:sz w:val="18"/>
              </w:rPr>
              <w:t>schriftliche Absage auf Krugs Bitte</w:t>
            </w:r>
          </w:p>
        </w:tc>
        <w:tc>
          <w:tcPr>
            <w:tcW w:type="dxa" w:w="3175"/>
            <w:shd w:val="clear" w:color="auto" w:fill="F3EFE6"/>
          </w:tcPr>
          <w:p>
            <w:pPr>
              <w:spacing w:after="0" w:before="0"/>
            </w:pPr>
            <w:r/>
            <w:r>
              <w:rPr>
                <w:b w:val="0"/>
                <w:i w:val="0"/>
                <w:color w:val="1A1A1A"/>
                <w:sz w:val="18"/>
              </w:rPr>
              <w:t>Methode: die Bitte gar nicht erst stellen</w:t>
            </w:r>
          </w:p>
        </w:tc>
      </w:tr>
      <w:tr>
        <w:trPr>
          <w:cantSplit w:val="true"/>
        </w:trPr>
        <w:tc>
          <w:tcPr>
            <w:tcW w:type="dxa" w:w="3288"/>
          </w:tcPr>
          <w:p>
            <w:pPr>
              <w:spacing w:after="0" w:before="0"/>
            </w:pPr>
            <w:r/>
            <w:r>
              <w:rPr>
                <w:b w:val="0"/>
                <w:i w:val="0"/>
                <w:color w:val="1A1A1A"/>
                <w:sz w:val="18"/>
              </w:rPr>
              <w:t>Stelle: zwei Stufen, Schlussfolgerungen der ersten vor der zweiten (ISO/IEC 17021-1)</w:t>
            </w:r>
          </w:p>
        </w:tc>
        <w:tc>
          <w:tcPr>
            <w:tcW w:type="dxa" w:w="3175"/>
          </w:tcPr>
          <w:p>
            <w:pPr>
              <w:spacing w:after="0" w:before="0"/>
            </w:pPr>
            <w:r/>
            <w:r>
              <w:rPr>
                <w:b w:val="0"/>
                <w:i w:val="0"/>
                <w:color w:val="1A1A1A"/>
                <w:sz w:val="18"/>
              </w:rPr>
              <w:t>Terminplan mit Abstand zwischen den Stufen</w:t>
            </w:r>
          </w:p>
        </w:tc>
        <w:tc>
          <w:tcPr>
            <w:tcW w:type="dxa" w:w="3175"/>
          </w:tcPr>
          <w:p>
            <w:pPr>
              <w:spacing w:after="0" w:before="0"/>
            </w:pPr>
            <w:r/>
            <w:r>
              <w:rPr>
                <w:b w:val="0"/>
                <w:i w:val="0"/>
                <w:color w:val="1A1A1A"/>
                <w:sz w:val="18"/>
              </w:rPr>
              <w:t>Methode: Stufe 2 über einen Festabend</w:t>
            </w:r>
          </w:p>
        </w:tc>
      </w:tr>
      <w:tr>
        <w:trPr>
          <w:cantSplit w:val="true"/>
        </w:trPr>
        <w:tc>
          <w:tcPr>
            <w:tcW w:type="dxa" w:w="3288"/>
            <w:shd w:val="clear" w:color="auto" w:fill="F3EFE6"/>
          </w:tcPr>
          <w:p>
            <w:pPr>
              <w:spacing w:after="0" w:before="0"/>
            </w:pPr>
            <w:r/>
            <w:r>
              <w:rPr>
                <w:b w:val="0"/>
                <w:i w:val="0"/>
                <w:color w:val="1A1A1A"/>
                <w:sz w:val="18"/>
              </w:rPr>
              <w:t>Stelle: Überwachung je Kalenderjahr, erste binnen zwölf Monaten (ISO/IEC 17021-1)</w:t>
            </w:r>
          </w:p>
        </w:tc>
        <w:tc>
          <w:tcPr>
            <w:tcW w:type="dxa" w:w="3175"/>
            <w:shd w:val="clear" w:color="auto" w:fill="F3EFE6"/>
          </w:tcPr>
          <w:p>
            <w:pPr>
              <w:spacing w:after="0" w:before="0"/>
            </w:pPr>
            <w:r/>
            <w:r>
              <w:rPr>
                <w:b w:val="0"/>
                <w:i w:val="0"/>
                <w:color w:val="1A1A1A"/>
                <w:sz w:val="18"/>
              </w:rPr>
              <w:t>Plan über drei Jahre mit Terminen in der Saison</w:t>
            </w:r>
          </w:p>
        </w:tc>
        <w:tc>
          <w:tcPr>
            <w:tcW w:type="dxa" w:w="3175"/>
            <w:shd w:val="clear" w:color="auto" w:fill="F3EFE6"/>
          </w:tcPr>
          <w:p>
            <w:pPr>
              <w:spacing w:after="0" w:before="0"/>
            </w:pPr>
            <w:r/>
            <w:r>
              <w:rPr>
                <w:b w:val="0"/>
                <w:i w:val="0"/>
                <w:color w:val="1A1A1A"/>
                <w:sz w:val="18"/>
              </w:rPr>
              <w:t>Methode: Saisonkalender dem Angebot beilegen</w:t>
            </w:r>
          </w:p>
        </w:tc>
      </w:tr>
      <w:tr>
        <w:trPr>
          <w:cantSplit w:val="true"/>
        </w:trPr>
        <w:tc>
          <w:tcPr>
            <w:tcW w:type="dxa" w:w="3288"/>
          </w:tcPr>
          <w:p>
            <w:pPr>
              <w:spacing w:after="0" w:before="0"/>
            </w:pPr>
            <w:r/>
            <w:r>
              <w:rPr>
                <w:b w:val="0"/>
                <w:i w:val="0"/>
                <w:color w:val="1A1A1A"/>
                <w:sz w:val="18"/>
              </w:rPr>
              <w:t>Stelle: IKT nach IAF MD 4:2025; Übertragung akkreditierter Zertifikate nach IAF MD 2</w:t>
            </w:r>
          </w:p>
        </w:tc>
        <w:tc>
          <w:tcPr>
            <w:tcW w:type="dxa" w:w="3175"/>
          </w:tcPr>
          <w:p>
            <w:pPr>
              <w:spacing w:after="0" w:before="0"/>
            </w:pPr>
            <w:r/>
            <w:r>
              <w:rPr>
                <w:b w:val="0"/>
                <w:i w:val="0"/>
                <w:color w:val="1A1A1A"/>
                <w:sz w:val="18"/>
              </w:rPr>
              <w:t>Vereinbarung, was per Video und was im Haus geprüft wird</w:t>
            </w:r>
          </w:p>
        </w:tc>
        <w:tc>
          <w:tcPr>
            <w:tcW w:type="dxa" w:w="3175"/>
          </w:tcPr>
          <w:p>
            <w:pPr>
              <w:spacing w:after="0" w:before="0"/>
            </w:pPr>
            <w:r/>
            <w:r>
              <w:rPr>
                <w:b w:val="0"/>
                <w:i w:val="0"/>
                <w:color w:val="1A1A1A"/>
                <w:sz w:val="18"/>
              </w:rPr>
              <w:t>ISO 19011:2026: erweiterte Anleitung zu Fernauditmethoden</w:t>
            </w:r>
          </w:p>
        </w:tc>
      </w:tr>
      <w:tr>
        <w:trPr>
          <w:cantSplit w:val="true"/>
        </w:trPr>
        <w:tc>
          <w:tcPr>
            <w:tcW w:type="dxa" w:w="3288"/>
            <w:shd w:val="clear" w:color="auto" w:fill="F3EFE6"/>
          </w:tcPr>
          <w:p>
            <w:pPr>
              <w:spacing w:after="0" w:before="0"/>
            </w:pPr>
            <w:r/>
            <w:r>
              <w:rPr>
                <w:b w:val="0"/>
                <w:i w:val="0"/>
                <w:color w:val="1A1A1A"/>
                <w:sz w:val="18"/>
              </w:rPr>
              <w:t>Haus: Anwendungsbereich dokumentiert (ISO 20121, 4.3)</w:t>
            </w:r>
          </w:p>
        </w:tc>
        <w:tc>
          <w:tcPr>
            <w:tcW w:type="dxa" w:w="3175"/>
            <w:shd w:val="clear" w:color="auto" w:fill="F3EFE6"/>
          </w:tcPr>
          <w:p>
            <w:pPr>
              <w:spacing w:after="0" w:before="0"/>
            </w:pPr>
            <w:r/>
            <w:r>
              <w:rPr>
                <w:b w:val="0"/>
                <w:i w:val="0"/>
                <w:color w:val="1A1A1A"/>
                <w:sz w:val="18"/>
              </w:rPr>
              <w:t>Seite mit Haus und Alm als Orten</w:t>
            </w:r>
          </w:p>
        </w:tc>
        <w:tc>
          <w:tcPr>
            <w:tcW w:type="dxa" w:w="3175"/>
            <w:shd w:val="clear" w:color="auto" w:fill="F3EFE6"/>
          </w:tcPr>
          <w:p>
            <w:pPr>
              <w:spacing w:after="0" w:before="0"/>
            </w:pPr>
            <w:r/>
            <w:r>
              <w:rPr>
                <w:b w:val="0"/>
                <w:i w:val="0"/>
                <w:color w:val="1A1A1A"/>
                <w:sz w:val="18"/>
              </w:rPr>
              <w:t>A.5: Zuschnitte; A.24: Bezüge der Zertifizierung</w:t>
            </w:r>
          </w:p>
        </w:tc>
      </w:tr>
    </w:tbl>
    <w:p>
      <w:pPr>
        <w:spacing w:after="40"/>
      </w:pPr>
    </w:p>
    <w:p>
      <w:pPr>
        <w:pStyle w:val="Heading2"/>
      </w:pPr>
      <w:r>
        <w:t>DACH-Anker: was ein Haus beim Vergleich der Stellen prüfen kann</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1474"/>
        <w:gridCol w:w="2721"/>
        <w:gridCol w:w="2721"/>
        <w:gridCol w:w="2721"/>
      </w:tblGrid>
      <w:tr>
        <w:trPr>
          <w:cantSplit w:val="true"/>
          <w:tblHeader w:val="true"/>
        </w:trPr>
        <w:tc>
          <w:tcPr>
            <w:tcW w:type="dxa" w:w="1474"/>
            <w:shd w:val="clear" w:color="auto" w:fill="8C5A2B"/>
          </w:tcPr>
          <w:p>
            <w:pPr>
              <w:spacing w:after="0" w:before="0"/>
            </w:pPr>
            <w:r/>
            <w:r>
              <w:rPr>
                <w:b/>
                <w:i w:val="0"/>
                <w:color w:val="FFFFFF"/>
                <w:sz w:val="17"/>
              </w:rPr>
              <w:t>Ebene</w:t>
            </w:r>
          </w:p>
        </w:tc>
        <w:tc>
          <w:tcPr>
            <w:tcW w:type="dxa" w:w="2721"/>
            <w:shd w:val="clear" w:color="auto" w:fill="8C5A2B"/>
          </w:tcPr>
          <w:p>
            <w:pPr>
              <w:spacing w:after="0" w:before="0"/>
            </w:pPr>
            <w:r/>
            <w:r>
              <w:rPr>
                <w:b/>
                <w:i w:val="0"/>
                <w:color w:val="FFFFFF"/>
                <w:sz w:val="17"/>
              </w:rPr>
              <w:t>Deutschland</w:t>
            </w:r>
          </w:p>
        </w:tc>
        <w:tc>
          <w:tcPr>
            <w:tcW w:type="dxa" w:w="2721"/>
            <w:shd w:val="clear" w:color="auto" w:fill="8C5A2B"/>
          </w:tcPr>
          <w:p>
            <w:pPr>
              <w:spacing w:after="0" w:before="0"/>
            </w:pPr>
            <w:r/>
            <w:r>
              <w:rPr>
                <w:b/>
                <w:i w:val="0"/>
                <w:color w:val="FFFFFF"/>
                <w:sz w:val="17"/>
              </w:rPr>
              <w:t>Österreich</w:t>
            </w:r>
          </w:p>
        </w:tc>
        <w:tc>
          <w:tcPr>
            <w:tcW w:type="dxa" w:w="2721"/>
            <w:shd w:val="clear" w:color="auto" w:fill="8C5A2B"/>
          </w:tcPr>
          <w:p>
            <w:pPr>
              <w:spacing w:after="0" w:before="0"/>
            </w:pPr>
            <w:r/>
            <w:r>
              <w:rPr>
                <w:b/>
                <w:i w:val="0"/>
                <w:color w:val="FFFFFF"/>
                <w:sz w:val="17"/>
              </w:rPr>
              <w:t>Schweiz</w:t>
            </w:r>
          </w:p>
        </w:tc>
      </w:tr>
      <w:tr>
        <w:trPr>
          <w:cantSplit w:val="true"/>
        </w:trPr>
        <w:tc>
          <w:tcPr>
            <w:tcW w:type="dxa" w:w="1474"/>
          </w:tcPr>
          <w:p>
            <w:pPr>
              <w:spacing w:after="0" w:before="0"/>
            </w:pPr>
            <w:r/>
            <w:r>
              <w:rPr>
                <w:b w:val="0"/>
                <w:i w:val="0"/>
                <w:color w:val="1A1A1A"/>
                <w:sz w:val="17"/>
              </w:rPr>
              <w:t>Akkreditierung nachschlagen</w:t>
            </w:r>
          </w:p>
        </w:tc>
        <w:tc>
          <w:tcPr>
            <w:tcW w:type="dxa" w:w="2721"/>
          </w:tcPr>
          <w:p>
            <w:pPr>
              <w:spacing w:after="0" w:before="0"/>
            </w:pPr>
            <w:r/>
            <w:r>
              <w:rPr>
                <w:b w:val="0"/>
                <w:i w:val="0"/>
                <w:color w:val="1A1A1A"/>
                <w:sz w:val="17"/>
              </w:rPr>
              <w:t>DAkkS; Geltungsbereich in den Anlagen zur Urkunde</w:t>
            </w:r>
          </w:p>
        </w:tc>
        <w:tc>
          <w:tcPr>
            <w:tcW w:type="dxa" w:w="2721"/>
          </w:tcPr>
          <w:p>
            <w:pPr>
              <w:spacing w:after="0" w:before="0"/>
            </w:pPr>
            <w:r/>
            <w:r>
              <w:rPr>
                <w:b w:val="0"/>
                <w:i w:val="0"/>
                <w:color w:val="1A1A1A"/>
                <w:sz w:val="17"/>
              </w:rPr>
              <w:t>Akkreditierung Austria; Akkreditierungsumfänge online abfragbar</w:t>
            </w:r>
          </w:p>
        </w:tc>
        <w:tc>
          <w:tcPr>
            <w:tcW w:type="dxa" w:w="2721"/>
          </w:tcPr>
          <w:p>
            <w:pPr>
              <w:spacing w:after="0" w:before="0"/>
            </w:pPr>
            <w:r/>
            <w:r>
              <w:rPr>
                <w:b w:val="0"/>
                <w:i w:val="0"/>
                <w:color w:val="1A1A1A"/>
                <w:sz w:val="17"/>
              </w:rPr>
              <w:t>SAS, beim SECO in Bern</w:t>
            </w:r>
          </w:p>
        </w:tc>
      </w:tr>
      <w:tr>
        <w:trPr>
          <w:cantSplit w:val="true"/>
        </w:trPr>
        <w:tc>
          <w:tcPr>
            <w:tcW w:type="dxa" w:w="1474"/>
            <w:shd w:val="clear" w:color="auto" w:fill="F3EFE6"/>
          </w:tcPr>
          <w:p>
            <w:pPr>
              <w:spacing w:after="0" w:before="0"/>
            </w:pPr>
            <w:r/>
            <w:r>
              <w:rPr>
                <w:b w:val="0"/>
                <w:i w:val="0"/>
                <w:color w:val="1A1A1A"/>
                <w:sz w:val="17"/>
              </w:rPr>
              <w:t>ISO 20121 akkreditiert</w:t>
            </w:r>
          </w:p>
        </w:tc>
        <w:tc>
          <w:tcPr>
            <w:tcW w:type="dxa" w:w="2721"/>
            <w:shd w:val="clear" w:color="auto" w:fill="F3EFE6"/>
          </w:tcPr>
          <w:p>
            <w:pPr>
              <w:spacing w:after="0" w:before="0"/>
            </w:pPr>
            <w:r/>
            <w:r>
              <w:rPr>
                <w:b w:val="0"/>
                <w:i w:val="0"/>
                <w:color w:val="1A1A1A"/>
                <w:sz w:val="17"/>
              </w:rPr>
              <w:t>Programm eingereicht; im September 2026 stand die Entscheidung der DAkkS aus</w:t>
            </w:r>
          </w:p>
        </w:tc>
        <w:tc>
          <w:tcPr>
            <w:tcW w:type="dxa" w:w="2721"/>
            <w:shd w:val="clear" w:color="auto" w:fill="F3EFE6"/>
          </w:tcPr>
          <w:p>
            <w:pPr>
              <w:spacing w:after="0" w:before="0"/>
            </w:pPr>
            <w:r/>
            <w:r>
              <w:rPr>
                <w:b w:val="0"/>
                <w:i w:val="0"/>
                <w:color w:val="1A1A1A"/>
                <w:sz w:val="17"/>
              </w:rPr>
              <w:t>keine akkreditierte Zertifizierung belegt</w:t>
            </w:r>
          </w:p>
        </w:tc>
        <w:tc>
          <w:tcPr>
            <w:tcW w:type="dxa" w:w="2721"/>
            <w:shd w:val="clear" w:color="auto" w:fill="F3EFE6"/>
          </w:tcPr>
          <w:p>
            <w:pPr>
              <w:spacing w:after="0" w:before="0"/>
            </w:pPr>
            <w:r/>
            <w:r>
              <w:rPr>
                <w:b w:val="0"/>
                <w:i w:val="0"/>
                <w:color w:val="1A1A1A"/>
                <w:sz w:val="17"/>
              </w:rPr>
              <w:t>keine akkreditierte Zertifizierung belegt</w:t>
            </w:r>
          </w:p>
        </w:tc>
      </w:tr>
      <w:tr>
        <w:trPr>
          <w:cantSplit w:val="true"/>
        </w:trPr>
        <w:tc>
          <w:tcPr>
            <w:tcW w:type="dxa" w:w="1474"/>
          </w:tcPr>
          <w:p>
            <w:pPr>
              <w:spacing w:after="0" w:before="0"/>
            </w:pPr>
            <w:r/>
            <w:r>
              <w:rPr>
                <w:b w:val="0"/>
                <w:i w:val="0"/>
                <w:color w:val="1A1A1A"/>
                <w:sz w:val="17"/>
              </w:rPr>
              <w:t>Einsicht in Personal- und Gästedaten beim Audit</w:t>
            </w:r>
          </w:p>
        </w:tc>
        <w:tc>
          <w:tcPr>
            <w:tcW w:type="dxa" w:w="2721"/>
          </w:tcPr>
          <w:p>
            <w:pPr>
              <w:spacing w:after="0" w:before="0"/>
            </w:pPr>
            <w:r/>
            <w:r>
              <w:rPr>
                <w:b w:val="0"/>
                <w:i w:val="0"/>
                <w:color w:val="1A1A1A"/>
                <w:sz w:val="17"/>
              </w:rPr>
              <w:t>DSGVO</w:t>
            </w:r>
          </w:p>
        </w:tc>
        <w:tc>
          <w:tcPr>
            <w:tcW w:type="dxa" w:w="2721"/>
          </w:tcPr>
          <w:p>
            <w:pPr>
              <w:spacing w:after="0" w:before="0"/>
            </w:pPr>
            <w:r/>
            <w:r>
              <w:rPr>
                <w:b w:val="0"/>
                <w:i w:val="0"/>
                <w:color w:val="1A1A1A"/>
                <w:sz w:val="17"/>
              </w:rPr>
              <w:t>DSGVO</w:t>
            </w:r>
          </w:p>
        </w:tc>
        <w:tc>
          <w:tcPr>
            <w:tcW w:type="dxa" w:w="2721"/>
          </w:tcPr>
          <w:p>
            <w:pPr>
              <w:spacing w:after="0" w:before="0"/>
            </w:pPr>
            <w:r/>
            <w:r>
              <w:rPr>
                <w:b w:val="0"/>
                <w:i w:val="0"/>
                <w:color w:val="1A1A1A"/>
                <w:sz w:val="17"/>
              </w:rPr>
              <w:t>Datenschutzgesetz</w:t>
            </w:r>
          </w:p>
        </w:tc>
      </w:tr>
      <w:tr>
        <w:trPr>
          <w:cantSplit w:val="true"/>
        </w:trPr>
        <w:tc>
          <w:tcPr>
            <w:tcW w:type="dxa" w:w="1474"/>
            <w:shd w:val="clear" w:color="auto" w:fill="F3EFE6"/>
          </w:tcPr>
          <w:p>
            <w:pPr>
              <w:spacing w:after="0" w:before="0"/>
            </w:pPr>
            <w:r/>
            <w:r>
              <w:rPr>
                <w:b w:val="0"/>
                <w:i w:val="0"/>
                <w:color w:val="1A1A1A"/>
                <w:sz w:val="17"/>
              </w:rPr>
              <w:t>Gespräche mit Mitarbeitenden</w:t>
            </w:r>
          </w:p>
        </w:tc>
        <w:tc>
          <w:tcPr>
            <w:tcW w:type="dxa" w:w="2721"/>
            <w:shd w:val="clear" w:color="auto" w:fill="F3EFE6"/>
          </w:tcPr>
          <w:p>
            <w:pPr>
              <w:spacing w:after="0" w:before="0"/>
            </w:pPr>
            <w:r/>
            <w:r>
              <w:rPr>
                <w:b w:val="0"/>
                <w:i w:val="0"/>
                <w:color w:val="1A1A1A"/>
                <w:sz w:val="17"/>
              </w:rPr>
              <w:t>während der Arbeitszeit, Arbeitszeitgesetz</w:t>
            </w:r>
          </w:p>
        </w:tc>
        <w:tc>
          <w:tcPr>
            <w:tcW w:type="dxa" w:w="2721"/>
            <w:shd w:val="clear" w:color="auto" w:fill="F3EFE6"/>
          </w:tcPr>
          <w:p>
            <w:pPr>
              <w:spacing w:after="0" w:before="0"/>
            </w:pPr>
            <w:r/>
            <w:r>
              <w:rPr>
                <w:b w:val="0"/>
                <w:i w:val="0"/>
                <w:color w:val="1A1A1A"/>
                <w:sz w:val="17"/>
              </w:rPr>
              <w:t>während der Arbeitszeit; geteilte Dienste in Küche und Service: § 12 Abs. 2a AZG</w:t>
            </w:r>
          </w:p>
        </w:tc>
        <w:tc>
          <w:tcPr>
            <w:tcW w:type="dxa" w:w="2721"/>
            <w:shd w:val="clear" w:color="auto" w:fill="F3EFE6"/>
          </w:tcPr>
          <w:p>
            <w:pPr>
              <w:spacing w:after="0" w:before="0"/>
            </w:pPr>
            <w:r/>
            <w:r>
              <w:rPr>
                <w:b w:val="0"/>
                <w:i w:val="0"/>
                <w:color w:val="1A1A1A"/>
                <w:sz w:val="17"/>
              </w:rPr>
              <w:t>während der Arbeitszeit; Sonderbestimmungen der ArGV 2 für Hotel- und Gastbetriebe</w:t>
            </w:r>
          </w:p>
        </w:tc>
      </w:tr>
    </w:tbl>
    <w:p>
      <w:pPr>
        <w:spacing w:after="40"/>
      </w:pPr>
    </w:p>
    <w:p>
      <w:r>
        <w:rPr>
          <w:b w:val="0"/>
          <w:i w:val="0"/>
          <w:color w:val="5A5A5A"/>
          <w:sz w:val="17"/>
        </w:rPr>
        <w:t>Stand der Tabelle: 23. Oktober 2026, wie im Buch. Die laufende Fassung mit Änderungen nach diesem Stichtag steht in Band8b_Rechtsanker_DACH_laufend.xlsx. Die Tabelle ersetzt keine Prüfung der geltenden Fassung und keine Rechtsberatung im Einzelfall.</w:t>
      </w:r>
    </w:p>
    <w:p>
      <w:r>
        <w:rPr>
          <w:b w:val="0"/>
          <w:i w:val="0"/>
          <w:color w:val="5A5A5A"/>
          <w:sz w:val="17"/>
        </w:rPr>
        <w:t>Quelle: Francesco Dore, Das Steuer und die Lupe, Band 8b «Ein Fest prüfen, solange es stattfindet», Abschnitt 4.2. Edizioni Effedore, 2026.</w:t>
      </w:r>
    </w:p>
    <w:sectPr w:rsidR="00FC693F" w:rsidRPr="0006063C" w:rsidSect="00034616">
      <w:footerReference w:type="default" r:id="rId9"/>
      <w:headerReference w:type="default" r:id="rId10"/>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5A5A5A"/>
        <w:sz w:val="15"/>
      </w:rPr>
      <w:t xml:space="preserve">Arbeitsmaterial 4.2 · Edizioni Effedore · buecher.effedore.com · Arbeitshilfe, keine Rechtsberatung  ·  Seite </w:t>
    </w:r>
    <w:r>
      <w:rPr>
        <w:color w:val="5A5A5A"/>
        <w:sz w:val="15"/>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
      <w:rPr>
        <w:color w:val="8C5A2B"/>
        <w:sz w:val="15"/>
      </w:rPr>
      <w:t>Das Steuer und die Lupe · Band 8b · ISO 20121 — Ein Fest prüfen, solange es stattfindet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9" w:lineRule="auto"/>
    </w:pPr>
    <w:rPr>
      <w:rFonts w:ascii="Aptos" w:hAnsi="Aptos" w:eastAsia="Aptos"/>
      <w:color w:val="1A1A1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80"/>
      <w:outlineLvl w:val="0"/>
    </w:pPr>
    <w:rPr>
      <w:rFonts w:asciiTheme="" w:eastAsiaTheme="majorEastAsia" w:hAnsiTheme="majorHAnsi" w:cstheme="majorBidi" w:ascii="Aptos" w:hAnsi="Aptos"/>
      <w:b/>
      <w:bCs/>
      <w:color w:val="8C5A2B"/>
      <w:sz w:val="36"/>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 w:eastAsiaTheme="majorEastAsia" w:hAnsiTheme="majorHAnsi" w:cstheme="majorBidi" w:ascii="Aptos" w:hAnsi="Aptos"/>
      <w:b/>
      <w:bCs/>
      <w:color w:val="8C5A2B"/>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Arbeitsmaterial 4.2 — Die Zertifizierungsstelle wählen</dc:title>
  <dc:subject/>
  <dc:creator>Francesco Dore</dc:creator>
  <cp:keywords/>
  <dc:description>generated by python-docx</dc:description>
  <cp:lastModifiedBy/>
  <cp:revision>1</cp:revision>
  <dcterms:created xsi:type="dcterms:W3CDTF">2013-12-23T23:15:00Z</dcterms:created>
  <dcterms:modified xsi:type="dcterms:W3CDTF">2013-12-23T23:15:00Z</dcterms:modified>
  <cp:category/>
</cp:coreProperties>
</file>