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8C5A2B"/>
          <w:sz w:val="18"/>
        </w:rPr>
        <w:t>ARBEITSMATERIAL 4.3</w:t>
      </w:r>
    </w:p>
    <w:p>
      <w:pPr>
        <w:pStyle w:val="Heading1"/>
      </w:pPr>
      <w:r>
        <w:t>Den Weg der Konformitätsaussage vorbereiten</w:t>
      </w:r>
    </w:p>
    <w:p>
      <w:pPr>
        <w:spacing w:after="0"/>
      </w:pPr>
      <w:r>
        <w:rPr>
          <w:b w:val="0"/>
          <w:i/>
          <w:color w:val="5A5A5A"/>
        </w:rPr>
        <w:t>Abschnitt 4.3 · Vorbereitung auf die Zertifizierung: Selbsterklärung, Zweitpartei oder Zertifikat</w:t>
      </w:r>
    </w:p>
    <w:p>
      <w:pPr>
        <w:spacing w:after="160"/>
      </w:pPr>
      <w:r>
        <w:rPr>
          <w:b w:val="0"/>
          <w:i w:val="0"/>
          <w:color w:val="5A5A5A"/>
          <w:sz w:val="18"/>
        </w:rPr>
        <w:t>Modellfall im Buch: Bregenz</w:t>
      </w:r>
    </w:p>
    <w:tbl>
      <w:tblPr>
        <w:tblW w:type="auto" w:w="0"/>
        <w:tblLook w:firstColumn="1" w:firstRow="1" w:lastColumn="0" w:lastRow="0" w:noHBand="0" w:noVBand="1" w:val="04A0"/>
        <w:tblCellMar>
          <w:top w:w="120" w:type="dxa"/>
          <w:left w:w="160" w:type="dxa"/>
          <w:bottom w:w="120" w:type="dxa"/>
          <w:right w:w="160" w:type="dxa"/>
        </w:tblCellMar>
      </w:tblPr>
      <w:tblGrid>
        <w:gridCol w:w="9638"/>
      </w:tblGrid>
      <w:tr>
        <w:tc>
          <w:tcPr>
            <w:tcW w:type="dxa" w:w="9638"/>
            <w:shd w:val="clear" w:color="auto" w:fill="EFE7DC"/>
          </w:tcPr>
          <w:p>
            <w:r/>
            <w:r>
              <w:rPr>
                <w:b/>
                <w:color w:val="8C5A2B"/>
                <w:sz w:val="18"/>
              </w:rPr>
              <w:t>LEITFRAGE</w:t>
              <w:br/>
            </w:r>
            <w:r>
              <w:rPr>
                <w:sz w:val="21"/>
              </w:rPr>
              <w:t>Wenn morgen ein Kunde mit seiner eigenen Liste vor Ihrer Tür steht und Ihr Haus zwei Tage lang prüfen will: Wüssten Sie, was er danach bestätigen kann und was nicht? Und würde Ihr Anwendungsbereich einem Fremden sagen, welche Feste, welche Leistungen und welche Räume er prüfen soll?</w:t>
            </w:r>
          </w:p>
        </w:tc>
      </w:tr>
    </w:tbl>
    <w:p>
      <w:pPr>
        <w:spacing w:after="0"/>
      </w:pPr>
    </w:p>
    <w:p>
      <w:r>
        <w:rPr>
          <w:sz w:val="18"/>
        </w:rPr>
        <w:t>Dieses Blatt gibt das Arbeitsmaterial des Abschnitts in bearbeitbarer Form wieder. Die Texte stammen aus dem Buch; die leeren Spalten sind für die Angaben des eigenen Hauses bestimmt.</w:t>
      </w:r>
    </w:p>
    <w:p>
      <w:pPr>
        <w:pStyle w:val="Heading2"/>
      </w:pPr>
      <w:r>
        <w:t>Das Werkzeug: Drei Wege der Konformitätsaussage, am Haus am See gemessen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CBB5"/>
          <w:left w:val="single" w:sz="4" w:color="D9CBB5"/>
          <w:bottom w:val="single" w:sz="4" w:color="D9CBB5"/>
          <w:right w:val="single" w:sz="4" w:color="D9CBB5"/>
          <w:insideH w:val="single" w:sz="4" w:color="D9CBB5"/>
          <w:insideV w:val="single" w:sz="4" w:color="D9CBB5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2409"/>
        <w:gridCol w:w="2409"/>
        <w:gridCol w:w="2409"/>
        <w:gridCol w:w="2409"/>
      </w:tblGrid>
      <w:tr>
        <w:trPr>
          <w:cantSplit w:val="true"/>
          <w:tblHeader w:val="true"/>
        </w:trPr>
        <w:tc>
          <w:tcPr>
            <w:tcW w:type="dxa" w:w="2409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Weg</w:t>
            </w:r>
          </w:p>
        </w:tc>
        <w:tc>
          <w:tcPr>
            <w:tcW w:type="dxa" w:w="2409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Wer spricht, für wen</w:t>
            </w:r>
          </w:p>
        </w:tc>
        <w:tc>
          <w:tcPr>
            <w:tcW w:type="dxa" w:w="2409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Was er in Bregenz trägt</w:t>
            </w:r>
          </w:p>
        </w:tc>
        <w:tc>
          <w:tcPr>
            <w:tcW w:type="dxa" w:w="2409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Grenze</w:t>
            </w:r>
          </w:p>
        </w:tc>
      </w:tr>
      <w:tr>
        <w:trPr>
          <w:cantSplit w:val="true"/>
        </w:trPr>
        <w:tc>
          <w:tcPr>
            <w:tcW w:type="dxa" w:w="2409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Selbsterklärung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das Haus, für jeden, der sie liest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ein internes Audit, eine Managementbewertung, drei offene Befunde benannt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niemand außerhalb hat geprüft</w:t>
            </w:r>
          </w:p>
        </w:tc>
      </w:tr>
      <w:tr>
        <w:trPr>
          <w:cantSplit w:val="true"/>
        </w:trPr>
        <w:tc>
          <w:tcPr>
            <w:tcW w:type="dxa" w:w="2409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Bestätigung eines Kunden</w:t>
            </w:r>
          </w:p>
        </w:tc>
        <w:tc>
          <w:tcPr>
            <w:tcW w:type="dxa" w:w="2409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der Verband, für sich</w:t>
            </w:r>
          </w:p>
        </w:tc>
        <w:tc>
          <w:tcPr>
            <w:tcW w:type="dxa" w:w="2409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zwei Tage, eine Liste mit 22 Fragen, ein Abend in der Spülküche</w:t>
            </w:r>
          </w:p>
        </w:tc>
        <w:tc>
          <w:tcPr>
            <w:tcW w:type="dxa" w:w="2409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gilt für die Leistungen des Verbands und nur für ihn</w:t>
            </w:r>
          </w:p>
        </w:tc>
      </w:tr>
      <w:tr>
        <w:trPr>
          <w:cantSplit w:val="true"/>
        </w:trPr>
        <w:tc>
          <w:tcPr>
            <w:tcW w:type="dxa" w:w="2409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Zertifikat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eine Zertifizierungsstelle, für alle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ganze Norm, ganzer Anwendungsbereich, jährliche Überwachung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prüft keine Kundenwünsche; für ISO 20121 bisher ohne belegte Akkreditierung</w:t>
            </w:r>
          </w:p>
        </w:tc>
      </w:tr>
    </w:tbl>
    <w:p>
      <w:pPr>
        <w:spacing w:after="40"/>
      </w:pPr>
    </w:p>
    <w:p>
      <w:pPr>
        <w:pStyle w:val="Heading2"/>
      </w:pPr>
      <w:r>
        <w:t>Praktische Anwendung: den Weg der Konformitätsaussage in sieben Schritten vorbereiten</w:t>
      </w:r>
    </w:p>
    <w:p>
      <w:pPr>
        <w:tabs>
          <w:tab w:pos="340" w:val="left"/>
        </w:tabs>
        <w:ind w:left="340" w:hanging="340"/>
      </w:pPr>
      <w:r>
        <w:rPr>
          <w:b/>
          <w:color w:val="8C5A2B"/>
        </w:rPr>
        <w:t>1.</w:t>
        <w:tab/>
      </w:r>
      <w:r>
        <w:rPr>
          <w:b/>
        </w:rPr>
        <w:t>Die Adressaten zählen.</w:t>
      </w:r>
      <w:r>
        <w:t xml:space="preserve"> Schreiben Sie auf, welche Kunden welchen Nachweis verlangen und wofür. Ein Kunde mit eigener Liste braucht etwas anderes als eine Agentur, die ein Papier sucht.</w:t>
      </w:r>
    </w:p>
    <w:p>
      <w:pPr>
        <w:tabs>
          <w:tab w:pos="340" w:val="left"/>
        </w:tabs>
        <w:ind w:left="340" w:hanging="340"/>
      </w:pPr>
      <w:r>
        <w:rPr>
          <w:b/>
          <w:color w:val="8C5A2B"/>
        </w:rPr>
        <w:t>2.</w:t>
        <w:tab/>
      </w:r>
      <w:r>
        <w:rPr>
          <w:b/>
        </w:rPr>
        <w:t>Den Anwendungsbereich für Fremde schreiben.</w:t>
      </w:r>
      <w:r>
        <w:t xml:space="preserve"> Arten von Veranstaltungen, Leistungen, Phasen, Orte und Ausschlüsse mit Grund. Wer die Seite liest, weiß, was er prüfen darf.</w:t>
      </w:r>
    </w:p>
    <w:p>
      <w:pPr>
        <w:tabs>
          <w:tab w:pos="340" w:val="left"/>
        </w:tabs>
        <w:ind w:left="340" w:hanging="340"/>
      </w:pPr>
      <w:r>
        <w:rPr>
          <w:b/>
          <w:color w:val="8C5A2B"/>
        </w:rPr>
        <w:t>3.</w:t>
        <w:tab/>
      </w:r>
      <w:r>
        <w:rPr>
          <w:b/>
        </w:rPr>
        <w:t>Die Saison laufen lassen.</w:t>
      </w:r>
      <w:r>
        <w:t xml:space="preserve"> Ohne internes Audit und Managementbewertung ist ein System nicht bereit. Kein Ordner ersetzt ein Jahr.</w:t>
      </w:r>
    </w:p>
    <w:p>
      <w:pPr>
        <w:tabs>
          <w:tab w:pos="340" w:val="left"/>
        </w:tabs>
        <w:ind w:left="340" w:hanging="340"/>
      </w:pPr>
      <w:r>
        <w:rPr>
          <w:b/>
          <w:color w:val="8C5A2B"/>
        </w:rPr>
        <w:t>4.</w:t>
        <w:tab/>
      </w:r>
      <w:r>
        <w:rPr>
          <w:b/>
        </w:rPr>
        <w:t>Kundenaudits als Probe nutzen.</w:t>
      </w:r>
      <w:r>
        <w:t xml:space="preserve"> Jede Feststellung eines Kunden wird erfasst und bearbeitet wie eine aus dem eigenen Audit. Was er nicht geprüft hat, wird notiert.</w:t>
      </w:r>
    </w:p>
    <w:p>
      <w:pPr>
        <w:tabs>
          <w:tab w:pos="340" w:val="left"/>
        </w:tabs>
        <w:ind w:left="340" w:hanging="340"/>
      </w:pPr>
      <w:r>
        <w:rPr>
          <w:b/>
          <w:color w:val="8C5A2B"/>
        </w:rPr>
        <w:t>5.</w:t>
        <w:tab/>
      </w:r>
      <w:r>
        <w:rPr>
          <w:b/>
        </w:rPr>
        <w:t>Die Daten vor dem Besuch schützen.</w:t>
      </w:r>
      <w:r>
        <w:t xml:space="preserve"> Schwärzen Sie Namen auf Abrechnungen und Dienstplänen, zeigen Sie Bedarfe als Zahlen. Geprüft wird das System, nicht der einzelne Mensch.</w:t>
      </w:r>
    </w:p>
    <w:p>
      <w:pPr>
        <w:tabs>
          <w:tab w:pos="340" w:val="left"/>
        </w:tabs>
        <w:ind w:left="340" w:hanging="340"/>
      </w:pPr>
      <w:r>
        <w:rPr>
          <w:b/>
          <w:color w:val="8C5A2B"/>
        </w:rPr>
        <w:t>6.</w:t>
        <w:tab/>
      </w:r>
      <w:r>
        <w:rPr>
          <w:b/>
        </w:rPr>
        <w:t>Jede Aussage an Weg und Umfang messen.</w:t>
      </w:r>
      <w:r>
        <w:t xml:space="preserve"> Eine Bestätigung gilt für den Kunden, der sie gibt, eine Selbsterklärung für den Bereich, den sie nennt. Was darüber hinausgeht, kommt nicht auf die Website.</w:t>
      </w:r>
    </w:p>
    <w:p>
      <w:pPr>
        <w:tabs>
          <w:tab w:pos="340" w:val="left"/>
        </w:tabs>
        <w:ind w:left="340" w:hanging="340"/>
      </w:pPr>
      <w:r>
        <w:rPr>
          <w:b/>
          <w:color w:val="8C5A2B"/>
        </w:rPr>
        <w:t>7.</w:t>
        <w:tab/>
      </w:r>
      <w:r>
        <w:rPr>
          <w:b/>
        </w:rPr>
        <w:t>Die Entscheidung an die Managementbewertung binden.</w:t>
      </w:r>
      <w:r>
        <w:t xml:space="preserve"> Ob das Haus eine Zertifizierung beauftragt, entscheidet die Eigentümerschaft mit den Zahlen eines Jahres, den Feststellungen der Kunden und einer Rechnung über die Zeit, die Kundenaudits kosten.</w:t>
      </w:r>
    </w:p>
    <w:p>
      <w:pPr>
        <w:keepNext/>
        <w:spacing w:after="40"/>
      </w:pPr>
      <w:r>
        <w:rPr>
          <w:b/>
          <w:i w:val="0"/>
          <w:color w:val="8C5A2B"/>
          <w:sz w:val="18"/>
        </w:rPr>
        <w:t>Umsetzung im eigenen Haus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CBB5"/>
          <w:left w:val="single" w:sz="4" w:color="D9CBB5"/>
          <w:bottom w:val="single" w:sz="4" w:color="D9CBB5"/>
          <w:right w:val="single" w:sz="4" w:color="D9CBB5"/>
          <w:insideH w:val="single" w:sz="4" w:color="D9CBB5"/>
          <w:insideV w:val="single" w:sz="4" w:color="D9CBB5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4649"/>
        <w:gridCol w:w="2041"/>
        <w:gridCol w:w="1474"/>
        <w:gridCol w:w="1474"/>
      </w:tblGrid>
      <w:tr>
        <w:trPr>
          <w:cantSplit w:val="true"/>
          <w:tblHeader w:val="true"/>
        </w:trPr>
        <w:tc>
          <w:tcPr>
            <w:tcW w:type="dxa" w:w="4649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Schritt</w:t>
            </w:r>
          </w:p>
        </w:tc>
        <w:tc>
          <w:tcPr>
            <w:tcW w:type="dxa" w:w="2041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Verantwortlich</w:t>
            </w:r>
          </w:p>
        </w:tc>
        <w:tc>
          <w:tcPr>
            <w:tcW w:type="dxa" w:w="1474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Termin</w:t>
            </w:r>
          </w:p>
        </w:tc>
        <w:tc>
          <w:tcPr>
            <w:tcW w:type="dxa" w:w="1474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Erledigt</w:t>
            </w:r>
          </w:p>
        </w:tc>
      </w:tr>
      <w:tr>
        <w:trPr>
          <w:cantSplit w:val="true"/>
        </w:trPr>
        <w:tc>
          <w:tcPr>
            <w:tcW w:type="dxa" w:w="4649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1. Die Adressaten zählen</w:t>
            </w:r>
          </w:p>
        </w:tc>
        <w:tc>
          <w:tcPr>
            <w:tcW w:type="dxa" w:w="204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4649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2. Den Anwendungsbereich für Fremde schreiben</w:t>
            </w:r>
          </w:p>
        </w:tc>
        <w:tc>
          <w:tcPr>
            <w:tcW w:type="dxa" w:w="204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4649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3. Die Saison laufen lassen</w:t>
            </w:r>
          </w:p>
        </w:tc>
        <w:tc>
          <w:tcPr>
            <w:tcW w:type="dxa" w:w="204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4649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4. Kundenaudits als Probe nutzen</w:t>
            </w:r>
          </w:p>
        </w:tc>
        <w:tc>
          <w:tcPr>
            <w:tcW w:type="dxa" w:w="204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4649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5. Die Daten vor dem Besuch schützen</w:t>
            </w:r>
          </w:p>
        </w:tc>
        <w:tc>
          <w:tcPr>
            <w:tcW w:type="dxa" w:w="204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4649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6. Jede Aussage an Weg und Umfang messen</w:t>
            </w:r>
          </w:p>
        </w:tc>
        <w:tc>
          <w:tcPr>
            <w:tcW w:type="dxa" w:w="204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4649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7. Die Entscheidung an die Managementbewertung binden</w:t>
            </w:r>
          </w:p>
        </w:tc>
        <w:tc>
          <w:tcPr>
            <w:tcW w:type="dxa" w:w="204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</w:r>
          </w:p>
        </w:tc>
      </w:tr>
    </w:tbl>
    <w:p>
      <w:pPr>
        <w:spacing w:after="40"/>
      </w:pPr>
    </w:p>
    <w:p>
      <w:pPr>
        <w:pStyle w:val="Heading2"/>
      </w:pPr>
      <w:r>
        <w:t>Prüf-Checkliste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CBB5"/>
          <w:left w:val="single" w:sz="4" w:color="D9CBB5"/>
          <w:bottom w:val="single" w:sz="4" w:color="D9CBB5"/>
          <w:right w:val="single" w:sz="4" w:color="D9CBB5"/>
          <w:insideH w:val="single" w:sz="4" w:color="D9CBB5"/>
          <w:insideV w:val="single" w:sz="4" w:color="D9CBB5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5216"/>
        <w:gridCol w:w="680"/>
        <w:gridCol w:w="680"/>
        <w:gridCol w:w="3061"/>
      </w:tblGrid>
      <w:tr>
        <w:trPr>
          <w:cantSplit w:val="true"/>
          <w:tblHeader w:val="true"/>
        </w:trPr>
        <w:tc>
          <w:tcPr>
            <w:tcW w:type="dxa" w:w="5216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Frage</w:t>
            </w:r>
          </w:p>
        </w:tc>
        <w:tc>
          <w:tcPr>
            <w:tcW w:type="dxa" w:w="680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Ja</w:t>
            </w:r>
          </w:p>
        </w:tc>
        <w:tc>
          <w:tcPr>
            <w:tcW w:type="dxa" w:w="680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Nein</w:t>
            </w:r>
          </w:p>
        </w:tc>
        <w:tc>
          <w:tcPr>
            <w:tcW w:type="dxa" w:w="3061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Nachweis / Bemerkung</w:t>
            </w:r>
          </w:p>
        </w:tc>
      </w:tr>
      <w:tr>
        <w:trPr>
          <w:cantSplit w:val="true"/>
        </w:trPr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Wissen wir, welche Kunden welchen Nachweis verlangen und wofür?</w:t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Sagt unser Anwendungsbereich, welche Veranstaltungen, Leistungen, Phasen und Orte er umfasst?</w:t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Hat unser System ein internes Audit und eine Managementbewertung durchlaufen?</w:t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Hat das interne Audit niemand durchgeführt, der die eigene Arbeit prüft?</w:t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Sind die Befunde so geschlossen, dass ein Fremder es am Ort sehen kann?</w:t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Behandeln wir Feststellungen von Kunden wie die des eigenen Audits?</w:t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Sind Namen von Gästen und Mitarbeitenden vor jeder Einsicht geschützt?</w:t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Nennt jede Aussage nach außen den Weg und den Umfang der Prüfung?</w:t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680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  <w:tc>
          <w:tcPr>
            <w:tcW w:type="dxa" w:w="306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2"/>
      </w:pPr>
      <w:r>
        <w:t>Häufige Fehler</w:t>
      </w:r>
    </w:p>
    <w:p>
      <w:pPr>
        <w:tabs>
          <w:tab w:pos="340" w:val="left"/>
        </w:tabs>
        <w:ind w:left="340" w:hanging="340"/>
      </w:pPr>
      <w:r>
        <w:rPr>
          <w:color w:val="8C5A2B"/>
        </w:rPr>
        <w:t>–</w:t>
        <w:tab/>
      </w:r>
      <w:r>
        <w:rPr>
          <w:b/>
        </w:rPr>
        <w:t>Einen Ordner mit Kopien anlegen.</w:t>
      </w:r>
      <w:r>
        <w:t xml:space="preserve"> Geprüft werden die Formulare, mit denen gearbeitet wird.</w:t>
      </w:r>
    </w:p>
    <w:p>
      <w:pPr>
        <w:tabs>
          <w:tab w:pos="340" w:val="left"/>
        </w:tabs>
        <w:ind w:left="340" w:hanging="340"/>
      </w:pPr>
      <w:r>
        <w:rPr>
          <w:color w:val="8C5A2B"/>
        </w:rPr>
        <w:t>–</w:t>
        <w:tab/>
      </w:r>
      <w:r>
        <w:rPr>
          <w:b/>
        </w:rPr>
        <w:t>Die Liste des Kunden für die Norm halten.</w:t>
      </w:r>
      <w:r>
        <w:t xml:space="preserve"> Sie prüft, was ihn betrifft, und nicht mehr.</w:t>
      </w:r>
    </w:p>
    <w:p>
      <w:pPr>
        <w:tabs>
          <w:tab w:pos="340" w:val="left"/>
        </w:tabs>
        <w:ind w:left="340" w:hanging="340"/>
      </w:pPr>
      <w:r>
        <w:rPr>
          <w:color w:val="8C5A2B"/>
        </w:rPr>
        <w:t>–</w:t>
        <w:tab/>
      </w:r>
      <w:r>
        <w:rPr>
          <w:b/>
        </w:rPr>
        <w:t>Mit der Bestätigung eines Kunden werben.</w:t>
      </w:r>
      <w:r>
        <w:t xml:space="preserve"> Sie gilt für ihn, nicht für alle anderen Kunden.</w:t>
      </w:r>
    </w:p>
    <w:p>
      <w:pPr>
        <w:tabs>
          <w:tab w:pos="340" w:val="left"/>
        </w:tabs>
        <w:ind w:left="340" w:hanging="340"/>
      </w:pPr>
      <w:r>
        <w:rPr>
          <w:color w:val="8C5A2B"/>
        </w:rPr>
        <w:t>–</w:t>
        <w:tab/>
      </w:r>
      <w:r>
        <w:rPr>
          <w:b/>
        </w:rPr>
        <w:t>Den Anwendungsbereich in einem Satz lassen.</w:t>
      </w:r>
      <w:r>
        <w:t xml:space="preserve"> Ein Fremder weiß dann nicht, was er prüfen soll.</w:t>
      </w:r>
    </w:p>
    <w:p>
      <w:pPr>
        <w:tabs>
          <w:tab w:pos="340" w:val="left"/>
        </w:tabs>
        <w:ind w:left="340" w:hanging="340"/>
      </w:pPr>
      <w:r>
        <w:rPr>
          <w:color w:val="8C5A2B"/>
        </w:rPr>
        <w:t>–</w:t>
        <w:tab/>
      </w:r>
      <w:r>
        <w:rPr>
          <w:b/>
        </w:rPr>
        <w:t>Ein Pflichtfeld für eine Lehre halten.</w:t>
      </w:r>
      <w:r>
        <w:t xml:space="preserve"> Das Feld wird gefüllt, die Lehre nicht.</w:t>
      </w:r>
    </w:p>
    <w:p>
      <w:pPr>
        <w:tabs>
          <w:tab w:pos="340" w:val="left"/>
        </w:tabs>
        <w:ind w:left="340" w:hanging="340"/>
      </w:pPr>
      <w:r>
        <w:rPr>
          <w:color w:val="8C5A2B"/>
        </w:rPr>
        <w:t>–</w:t>
        <w:tab/>
      </w:r>
      <w:r>
        <w:rPr>
          <w:b/>
        </w:rPr>
        <w:t>Die interne Auditorin zur Zertifiziererin machen.</w:t>
      </w:r>
      <w:r>
        <w:t xml:space="preserve"> Wer intern geprüft hat, kann nicht unparteiisch zertifizieren.</w:t>
      </w:r>
    </w:p>
    <w:p>
      <w:pPr>
        <w:pStyle w:val="Heading2"/>
      </w:pPr>
      <w:r>
        <w:t>Modellrechnung</w:t>
      </w:r>
    </w:p>
    <w:p>
      <w:r>
        <w:rPr>
          <w:b w:val="0"/>
          <w:i/>
          <w:color w:val="5A5A5A"/>
          <w:sz w:val="18"/>
        </w:rPr>
        <w:t>Modellannahme, kein belegter Branchenwert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CBB5"/>
          <w:left w:val="single" w:sz="4" w:color="D9CBB5"/>
          <w:bottom w:val="single" w:sz="4" w:color="D9CBB5"/>
          <w:right w:val="single" w:sz="4" w:color="D9CBB5"/>
          <w:insideH w:val="single" w:sz="4" w:color="D9CBB5"/>
          <w:insideV w:val="single" w:sz="4" w:color="D9CBB5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3175"/>
        <w:gridCol w:w="1474"/>
        <w:gridCol w:w="3175"/>
        <w:gridCol w:w="1814"/>
      </w:tblGrid>
      <w:tr>
        <w:trPr>
          <w:cantSplit w:val="true"/>
          <w:tblHeader w:val="true"/>
        </w:trPr>
        <w:tc>
          <w:tcPr>
            <w:tcW w:type="dxa" w:w="3175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Posten</w:t>
            </w:r>
          </w:p>
        </w:tc>
        <w:tc>
          <w:tcPr>
            <w:tcW w:type="dxa" w:w="1474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Betrag</w:t>
            </w:r>
          </w:p>
        </w:tc>
        <w:tc>
          <w:tcPr>
            <w:tcW w:type="dxa" w:w="3175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Anmerkung</w:t>
            </w:r>
          </w:p>
        </w:tc>
        <w:tc>
          <w:tcPr>
            <w:tcW w:type="dxa" w:w="1814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Eigener Wert</w:t>
            </w:r>
          </w:p>
        </w:tc>
      </w:tr>
      <w:tr>
        <w:trPr>
          <w:cantSplit w:val="true"/>
        </w:trPr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Kundenaudit des Verbands: Begleitung, Gespräche, Abschluss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22 Stunden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Bankettleitung, Direktion, Küche, Technik</w:t>
            </w:r>
          </w:p>
        </w:tc>
        <w:tc>
          <w:tcPr>
            <w:tcW w:type="dxa" w:w="181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Vorbereitung: Liste beantworten, Unterlagen schwärzen</w:t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9 Stunden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einmalig je Audit</w:t>
            </w:r>
          </w:p>
        </w:tc>
        <w:tc>
          <w:tcPr>
            <w:tcW w:type="dxa" w:w="181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Drei Kunden mit eigenem Audit im Jahr, je 31 Stunden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93 Stunden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Verband, Industrieunternehmen, Agentur</w:t>
            </w:r>
          </w:p>
        </w:tc>
        <w:tc>
          <w:tcPr>
            <w:tcW w:type="dxa" w:w="181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93 Stunden zu € 38</w:t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€ 3.534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Arbeitszeit, ohne Reise- und Bewirtungskosten</w:t>
            </w:r>
          </w:p>
        </w:tc>
        <w:tc>
          <w:tcPr>
            <w:tcW w:type="dxa" w:w="181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Zertifizierung, erstes Jahr, Angebot aus dem Vorjahr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€ 7.800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Honorar der Stelle</w:t>
            </w:r>
          </w:p>
        </w:tc>
        <w:tc>
          <w:tcPr>
            <w:tcW w:type="dxa" w:w="181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Begleitung von Stufe 1 und Stufe 2</w:t>
            </w:r>
          </w:p>
        </w:tc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30 Stunden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ohne Vorbereitung; die ist das System selbst</w:t>
            </w:r>
          </w:p>
        </w:tc>
        <w:tc>
          <w:tcPr>
            <w:tcW w:type="dxa" w:w="181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</w:r>
          </w:p>
        </w:tc>
      </w:tr>
    </w:tbl>
    <w:p>
      <w:pPr>
        <w:spacing w:after="40"/>
      </w:pPr>
    </w:p>
    <w:p>
      <w:r>
        <w:rPr>
          <w:b w:val="0"/>
          <w:i w:val="0"/>
        </w:rPr>
        <w:t>Die Rechnung stellt zwei Wege nebeneinander, die einander nicht ersetzen. Dass mit einem Zertifikat alle drei Kunden auf ihr Audit verzichten, nimmt sie nicht an; Pichler hatte gesagt, sie käme auch dann. Stunden und Honorar stehen getrennt, weil das eine Arbeitszeit des Hauses ist und das andere Geld, das es ausgibt.</w:t>
      </w:r>
    </w:p>
    <w:p>
      <w:pPr>
        <w:pStyle w:val="Heading2"/>
      </w:pPr>
      <w:r>
        <w:t>Was verlangt ist, und was nur Anleitung ist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CBB5"/>
          <w:left w:val="single" w:sz="4" w:color="D9CBB5"/>
          <w:bottom w:val="single" w:sz="4" w:color="D9CBB5"/>
          <w:right w:val="single" w:sz="4" w:color="D9CBB5"/>
          <w:insideH w:val="single" w:sz="4" w:color="D9CBB5"/>
          <w:insideV w:val="single" w:sz="4" w:color="D9CBB5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3288"/>
        <w:gridCol w:w="3175"/>
        <w:gridCol w:w="3175"/>
      </w:tblGrid>
      <w:tr>
        <w:trPr>
          <w:cantSplit w:val="true"/>
          <w:tblHeader w:val="true"/>
        </w:trPr>
        <w:tc>
          <w:tcPr>
            <w:tcW w:type="dxa" w:w="3288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Verlangt</w:t>
            </w:r>
          </w:p>
        </w:tc>
        <w:tc>
          <w:tcPr>
            <w:tcW w:type="dxa" w:w="3175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Was es im Hotel belegt</w:t>
            </w:r>
          </w:p>
        </w:tc>
        <w:tc>
          <w:tcPr>
            <w:tcW w:type="dxa" w:w="3175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8"/>
              </w:rPr>
              <w:t>Nur Leitfaden oder Methode</w:t>
            </w:r>
          </w:p>
        </w:tc>
      </w:tr>
      <w:tr>
        <w:trPr>
          <w:cantSplit w:val="true"/>
        </w:trPr>
        <w:tc>
          <w:tcPr>
            <w:tcW w:type="dxa" w:w="3288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Anwendungsbereich festlegen und dokumentieren (4.3)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eine Seite mit Arten, Leistungen, Phasen, Orten und begründeten Ausschlüssen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A.2 und A.5: Zuschnitte, Lieferanten legen ihre Leistungen fest</w:t>
            </w:r>
          </w:p>
        </w:tc>
      </w:tr>
      <w:tr>
        <w:trPr>
          <w:cantSplit w:val="true"/>
        </w:trPr>
        <w:tc>
          <w:tcPr>
            <w:tcW w:type="dxa" w:w="3288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Interne Audits in geplanten Abständen, objektiv und unparteiisch, Bericht an die Leitung (9.2)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Bericht vom September; Programm für das zweite Jahr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A.21: intern oder extern, nicht die eigene Arbeit; ISO 19011:2026 als Leitfaden</w:t>
            </w:r>
          </w:p>
        </w:tc>
      </w:tr>
      <w:tr>
        <w:trPr>
          <w:cantSplit w:val="true"/>
        </w:trPr>
        <w:tc>
          <w:tcPr>
            <w:tcW w:type="dxa" w:w="3288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Managementbewertung mit Entscheidungen (9.3)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Protokoll vom Oktober; Termin im April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A.22: muss nicht bis nach der Veranstaltung warten</w:t>
            </w:r>
          </w:p>
        </w:tc>
      </w:tr>
      <w:tr>
        <w:trPr>
          <w:cantSplit w:val="true"/>
        </w:trPr>
        <w:tc>
          <w:tcPr>
            <w:tcW w:type="dxa" w:w="3288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Konformität freiwillig nachweisen (Abschnitt 1)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Selbsterklärung; Bestätigung des Verbands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A.24: drei Wege, Bezüge zu ISO/IEC 17021-1 und 17029</w:t>
            </w:r>
          </w:p>
        </w:tc>
      </w:tr>
      <w:tr>
        <w:trPr>
          <w:cantSplit w:val="true"/>
        </w:trPr>
        <w:tc>
          <w:tcPr>
            <w:tcW w:type="dxa" w:w="3288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Keine irreführende Kommunikation (7.4)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Programmtext des Verbands berichtigt; Website ohne «geprüft»</w:t>
            </w:r>
          </w:p>
        </w:tc>
        <w:tc>
          <w:tcPr>
            <w:tcW w:type="dxa" w:w="3175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Methode: jede Aussage nennt Weg und Umfang</w:t>
            </w:r>
          </w:p>
        </w:tc>
      </w:tr>
      <w:tr>
        <w:trPr>
          <w:cantSplit w:val="true"/>
        </w:trPr>
        <w:tc>
          <w:tcPr>
            <w:tcW w:type="dxa" w:w="3288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Stelle: Schlussfolgerungen der Stufe 1 vor Stufe 2 mitteilen (ISO/IEC 17021-1)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Zeit zwischen den Stufen im eigenen Kalender</w:t>
            </w:r>
          </w:p>
        </w:tc>
        <w:tc>
          <w:tcPr>
            <w:tcW w:type="dxa" w:w="3175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8"/>
              </w:rPr>
              <w:t>Methode: Stufe 2 auf einen Festtag legen lassen</w:t>
            </w:r>
          </w:p>
        </w:tc>
      </w:tr>
    </w:tbl>
    <w:p>
      <w:pPr>
        <w:spacing w:after="40"/>
      </w:pPr>
    </w:p>
    <w:p>
      <w:pPr>
        <w:pStyle w:val="Heading2"/>
      </w:pPr>
      <w:r>
        <w:t>DACH-Anker: drei Wege der Konformitätsaussage und das Recht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D9CBB5"/>
          <w:left w:val="single" w:sz="4" w:color="D9CBB5"/>
          <w:bottom w:val="single" w:sz="4" w:color="D9CBB5"/>
          <w:right w:val="single" w:sz="4" w:color="D9CBB5"/>
          <w:insideH w:val="single" w:sz="4" w:color="D9CBB5"/>
          <w:insideV w:val="single" w:sz="4" w:color="D9CBB5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1474"/>
        <w:gridCol w:w="2721"/>
        <w:gridCol w:w="2721"/>
        <w:gridCol w:w="2721"/>
      </w:tblGrid>
      <w:tr>
        <w:trPr>
          <w:cantSplit w:val="true"/>
          <w:tblHeader w:val="true"/>
        </w:trPr>
        <w:tc>
          <w:tcPr>
            <w:tcW w:type="dxa" w:w="1474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Ebene</w:t>
            </w:r>
          </w:p>
        </w:tc>
        <w:tc>
          <w:tcPr>
            <w:tcW w:type="dxa" w:w="2721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Deutschland</w:t>
            </w:r>
          </w:p>
        </w:tc>
        <w:tc>
          <w:tcPr>
            <w:tcW w:type="dxa" w:w="2721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Österreich</w:t>
            </w:r>
          </w:p>
        </w:tc>
        <w:tc>
          <w:tcPr>
            <w:tcW w:type="dxa" w:w="2721"/>
            <w:shd w:val="clear" w:color="auto" w:fill="8C5A2B"/>
          </w:tcPr>
          <w:p>
            <w:pPr>
              <w:spacing w:after="0" w:before="0"/>
            </w:pPr>
            <w:r/>
            <w:r>
              <w:rPr>
                <w:b/>
                <w:i w:val="0"/>
                <w:color w:val="FFFFFF"/>
                <w:sz w:val="17"/>
              </w:rPr>
              <w:t>Schweiz</w:t>
            </w:r>
          </w:p>
        </w:tc>
      </w:tr>
      <w:tr>
        <w:trPr>
          <w:cantSplit w:val="true"/>
        </w:trPr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Selbsterklärung mit eigenem Zeichen gegenüber Verbrauchern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Nachhaltigkeitssiegel ohne Zertifizierungssystem oder staatliche Festsetzung unzulässig (UWG, Anhang Nr. 2a), seit 27. September 2026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gleiche Regel (UWG, Anhang Z 2a), seit 27. September 2026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Richtlinie nicht übernommen; Irreführungsverbot (Art. 3 Abs. 1 lit. b UWG), Klimaaussagen nach lit. x</w:t>
            </w:r>
          </w:p>
        </w:tc>
      </w:tr>
      <w:tr>
        <w:trPr>
          <w:cantSplit w:val="true"/>
        </w:trPr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Bestätigung eines Kunden in der Werbung</w:t>
            </w:r>
          </w:p>
        </w:tc>
        <w:tc>
          <w:tcPr>
            <w:tcW w:type="dxa" w:w="272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keine Sonderregel; allgemeines Irreführungsverbot</w:t>
            </w:r>
          </w:p>
        </w:tc>
        <w:tc>
          <w:tcPr>
            <w:tcW w:type="dxa" w:w="272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ebenso</w:t>
            </w:r>
          </w:p>
        </w:tc>
        <w:tc>
          <w:tcPr>
            <w:tcW w:type="dxa" w:w="272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ebenso</w:t>
            </w:r>
          </w:p>
        </w:tc>
      </w:tr>
      <w:tr>
        <w:trPr>
          <w:cantSplit w:val="true"/>
        </w:trPr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Einsicht des Kunden in Personal- und Gästedaten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DSGVO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DSGVO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Datenschutzgesetz</w:t>
            </w:r>
          </w:p>
        </w:tc>
      </w:tr>
      <w:tr>
        <w:trPr>
          <w:cantSplit w:val="true"/>
        </w:trPr>
        <w:tc>
          <w:tcPr>
            <w:tcW w:type="dxa" w:w="1474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Zertifikat nach ISO 20121</w:t>
            </w:r>
          </w:p>
        </w:tc>
        <w:tc>
          <w:tcPr>
            <w:tcW w:type="dxa" w:w="272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Programm bei der DAkkS eingereicht; Entscheidung stand im September 2026 aus</w:t>
            </w:r>
          </w:p>
        </w:tc>
        <w:tc>
          <w:tcPr>
            <w:tcW w:type="dxa" w:w="272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keine akkreditierte Zertifizierung belegt</w:t>
            </w:r>
          </w:p>
        </w:tc>
        <w:tc>
          <w:tcPr>
            <w:tcW w:type="dxa" w:w="2721"/>
            <w:shd w:val="clear" w:color="auto" w:fill="F3EFE6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keine akkreditierte Zertifizierung belegt</w:t>
            </w:r>
          </w:p>
        </w:tc>
      </w:tr>
      <w:tr>
        <w:trPr>
          <w:cantSplit w:val="true"/>
        </w:trPr>
        <w:tc>
          <w:tcPr>
            <w:tcW w:type="dxa" w:w="1474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Staatliche Orientierung für Veranstaltungen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Leitfaden von Bundesumweltministerium und Umweltbundesamt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Umweltzeichen UZ 62 Green Meetings und Green Events; Richtlinie R6.0 für Veranstaltungen ab 1. Jänner 2027</w:t>
            </w:r>
          </w:p>
        </w:tc>
        <w:tc>
          <w:tcPr>
            <w:tcW w:type="dxa" w:w="2721"/>
          </w:tcPr>
          <w:p>
            <w:pPr>
              <w:spacing w:after="0" w:before="0"/>
            </w:pPr>
            <w:r/>
            <w:r>
              <w:rPr>
                <w:b w:val="0"/>
                <w:i w:val="0"/>
                <w:color w:val="1A1A1A"/>
                <w:sz w:val="17"/>
              </w:rPr>
              <w:t>private Zeichen, nach UWG zu messen</w:t>
            </w:r>
          </w:p>
        </w:tc>
      </w:tr>
    </w:tbl>
    <w:p>
      <w:pPr>
        <w:spacing w:after="40"/>
      </w:pPr>
    </w:p>
    <w:p>
      <w:r>
        <w:rPr>
          <w:b w:val="0"/>
          <w:i w:val="0"/>
          <w:color w:val="5A5A5A"/>
          <w:sz w:val="17"/>
        </w:rPr>
        <w:t>Stand der Tabelle: 23. Oktober 2026, wie im Buch. Die laufende Fassung mit Änderungen nach diesem Stichtag steht in Band8b_Rechtsanker_DACH_laufend.xlsx. Die Tabelle ersetzt keine Prüfung der geltenden Fassung und keine Rechtsberatung im Einzelfall.</w:t>
      </w:r>
    </w:p>
    <w:p>
      <w:r>
        <w:rPr>
          <w:b w:val="0"/>
          <w:i w:val="0"/>
          <w:color w:val="5A5A5A"/>
          <w:sz w:val="17"/>
        </w:rPr>
        <w:t>Quelle: Francesco Dore, Das Steuer und die Lupe, Band 8b «Ein Fest prüfen, solange es stattfindet», Abschnitt 4.3. Edizioni Effedore, 2026.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5A5A5A"/>
        <w:sz w:val="15"/>
      </w:rPr>
      <w:t xml:space="preserve">Arbeitsmaterial 4.3 · Edizioni Effedore · buecher.effedore.com · Arbeitshilfe, keine Rechtsberatung  ·  Seite </w:t>
    </w:r>
    <w:r>
      <w:rPr>
        <w:color w:val="5A5A5A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  <w:r>
      <w:rPr>
        <w:color w:val="8C5A2B"/>
        <w:sz w:val="15"/>
      </w:rPr>
      <w:t>Das Steuer und die Lupe · Band 8b · ISO 20121 — Ein Fest prüfen, solange es stattfindet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eastAsia="Aptos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/>
      <w:outlineLvl w:val="0"/>
    </w:pPr>
    <w:rPr>
      <w:rFonts w:asciiTheme="" w:eastAsiaTheme="majorEastAsia" w:hAnsiTheme="majorHAnsi" w:cstheme="majorBidi" w:ascii="Aptos" w:hAnsi="Aptos"/>
      <w:b/>
      <w:bCs/>
      <w:color w:val="8C5A2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" w:eastAsiaTheme="majorEastAsia" w:hAnsiTheme="majorHAnsi" w:cstheme="majorBidi" w:ascii="Aptos" w:hAnsi="Aptos"/>
      <w:b/>
      <w:bCs/>
      <w:color w:val="8C5A2B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Arbeitsmaterial 4.3 — Den Weg der Konformitätsaussage vorbereiten</dc:title>
  <dc:subject/>
  <dc:creator>Francesco Dore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