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4.4</w:t>
      </w:r>
    </w:p>
    <w:p>
      <w:pPr>
        <w:pStyle w:val="Heading1"/>
      </w:pPr>
      <w:r>
        <w:t>Die erste Stufe vorbereiten</w:t>
      </w:r>
    </w:p>
    <w:p>
      <w:pPr>
        <w:spacing w:after="0"/>
      </w:pPr>
      <w:r>
        <w:rPr>
          <w:b w:val="0"/>
          <w:i/>
          <w:color w:val="5A5A5A"/>
        </w:rPr>
        <w:t>Abschnitt 4.4 · Stufe 1: die Bereitschaft</w:t>
      </w:r>
    </w:p>
    <w:p>
      <w:pPr>
        <w:spacing w:after="160"/>
      </w:pPr>
      <w:r>
        <w:rPr>
          <w:b w:val="0"/>
          <w:i w:val="0"/>
          <w:color w:val="5A5A5A"/>
          <w:sz w:val="18"/>
        </w:rPr>
        <w:t>Modellfall im Buch: Bern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der Auditor der Zertifizierungsstelle morgen Ihren Anwendungsbereich liest und auf jede Fläche zeigt, die darin steht: Können Sie ihm für jede eine Spur in Ihrem System zeigen? Und wüssten Sie, an welchem Tag des Jahres er Ihr Haus sehen müsste, um zu erkennen, ob es hält, was es beschreibt?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Was Stufe 1 klären kann und was erst Stufe 2 zeigt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Frage</w:t>
            </w:r>
          </w:p>
        </w:tc>
        <w:tc>
          <w:tcPr>
            <w:tcW w:type="dxa" w:w="3213"/>
            <w:shd w:val="clear" w:color="auto" w:fill="8C5A2B"/>
          </w:tcPr>
          <w:p>
            <w:pPr>
              <w:spacing w:after="0" w:before="0"/>
            </w:pPr>
            <w:r/>
            <w:r>
              <w:rPr>
                <w:b/>
                <w:i w:val="0"/>
                <w:color w:val="FFFFFF"/>
                <w:sz w:val="18"/>
              </w:rPr>
              <w:t>In Stufe 1 in Bern</w:t>
            </w:r>
          </w:p>
        </w:tc>
        <w:tc>
          <w:tcPr>
            <w:tcW w:type="dxa" w:w="3213"/>
            <w:shd w:val="clear" w:color="auto" w:fill="8C5A2B"/>
          </w:tcPr>
          <w:p>
            <w:pPr>
              <w:spacing w:after="0" w:before="0"/>
            </w:pPr>
            <w:r/>
            <w:r>
              <w:rPr>
                <w:b/>
                <w:i w:val="0"/>
                <w:color w:val="FFFFFF"/>
                <w:sz w:val="18"/>
              </w:rPr>
              <w:t>Was erst Stufe 2 zeigt</w:t>
            </w:r>
          </w:p>
        </w:tc>
      </w:tr>
      <w:tr>
        <w:trPr>
          <w:cantSplit w:val="true"/>
        </w:trPr>
        <w:tc>
          <w:tcPr>
            <w:tcW w:type="dxa" w:w="3213"/>
          </w:tcPr>
          <w:p>
            <w:pPr>
              <w:spacing w:after="0" w:before="0"/>
            </w:pPr>
            <w:r/>
            <w:r>
              <w:rPr>
                <w:b w:val="0"/>
                <w:i w:val="0"/>
                <w:color w:val="1A1A1A"/>
                <w:sz w:val="18"/>
              </w:rPr>
              <w:t>Deckt der Anwendungsbereich, was das Haus tut?</w:t>
            </w:r>
          </w:p>
        </w:tc>
        <w:tc>
          <w:tcPr>
            <w:tcW w:type="dxa" w:w="3213"/>
          </w:tcPr>
          <w:p>
            <w:pPr>
              <w:spacing w:after="0" w:before="0"/>
            </w:pPr>
            <w:r/>
            <w:r>
              <w:rPr>
                <w:b w:val="0"/>
                <w:i w:val="0"/>
                <w:color w:val="1A1A1A"/>
                <w:sz w:val="18"/>
              </w:rPr>
              <w:t>Park genannt, aber ohne Spur im System</w:t>
            </w:r>
          </w:p>
        </w:tc>
        <w:tc>
          <w:tcPr>
            <w:tcW w:type="dxa" w:w="3213"/>
          </w:tcPr>
          <w:p>
            <w:pPr>
              <w:spacing w:after="0" w:before="0"/>
            </w:pPr>
            <w:r/>
            <w:r>
              <w:rPr>
                <w:b w:val="0"/>
                <w:i w:val="0"/>
                <w:color w:val="1A1A1A"/>
                <w:sz w:val="18"/>
              </w:rPr>
              <w:t>ob im Park nach den Festlegungen gearbeitet wird</w:t>
            </w:r>
          </w:p>
        </w:tc>
      </w:tr>
      <w:tr>
        <w:trPr>
          <w:cantSplit w:val="true"/>
        </w:trPr>
        <w:tc>
          <w:tcPr>
            <w:tcW w:type="dxa" w:w="3213"/>
            <w:shd w:val="clear" w:color="auto" w:fill="F3EFE6"/>
          </w:tcPr>
          <w:p>
            <w:pPr>
              <w:spacing w:after="0" w:before="0"/>
            </w:pPr>
            <w:r/>
            <w:r>
              <w:rPr>
                <w:b w:val="0"/>
                <w:i w:val="0"/>
                <w:color w:val="1A1A1A"/>
                <w:sz w:val="18"/>
              </w:rPr>
              <w:t>Hat sich das Haus selbst geprüft?</w:t>
            </w:r>
          </w:p>
        </w:tc>
        <w:tc>
          <w:tcPr>
            <w:tcW w:type="dxa" w:w="3213"/>
            <w:shd w:val="clear" w:color="auto" w:fill="F3EFE6"/>
          </w:tcPr>
          <w:p>
            <w:pPr>
              <w:spacing w:after="0" w:before="0"/>
            </w:pPr>
            <w:r/>
            <w:r>
              <w:rPr>
                <w:b w:val="0"/>
                <w:i w:val="0"/>
                <w:color w:val="1A1A1A"/>
                <w:sz w:val="18"/>
              </w:rPr>
              <w:t>internes Audit im November, ohne Park</w:t>
            </w:r>
          </w:p>
        </w:tc>
        <w:tc>
          <w:tcPr>
            <w:tcW w:type="dxa" w:w="3213"/>
            <w:shd w:val="clear" w:color="auto" w:fill="F3EFE6"/>
          </w:tcPr>
          <w:p>
            <w:pPr>
              <w:spacing w:after="0" w:before="0"/>
            </w:pPr>
            <w:r/>
            <w:r>
              <w:rPr>
                <w:b w:val="0"/>
                <w:i w:val="0"/>
                <w:color w:val="1A1A1A"/>
                <w:sz w:val="18"/>
              </w:rPr>
              <w:t>ob die Befunde des internen Audits tragen</w:t>
            </w:r>
          </w:p>
        </w:tc>
      </w:tr>
      <w:tr>
        <w:trPr>
          <w:cantSplit w:val="true"/>
        </w:trPr>
        <w:tc>
          <w:tcPr>
            <w:tcW w:type="dxa" w:w="3213"/>
          </w:tcPr>
          <w:p>
            <w:pPr>
              <w:spacing w:after="0" w:before="0"/>
            </w:pPr>
            <w:r/>
            <w:r>
              <w:rPr>
                <w:b w:val="0"/>
                <w:i w:val="0"/>
                <w:color w:val="1A1A1A"/>
                <w:sz w:val="18"/>
              </w:rPr>
              <w:t>Hat die Leitung bewertet?</w:t>
            </w:r>
          </w:p>
        </w:tc>
        <w:tc>
          <w:tcPr>
            <w:tcW w:type="dxa" w:w="3213"/>
          </w:tcPr>
          <w:p>
            <w:pPr>
              <w:spacing w:after="0" w:before="0"/>
            </w:pPr>
            <w:r/>
            <w:r>
              <w:rPr>
                <w:b w:val="0"/>
                <w:i w:val="0"/>
                <w:color w:val="1A1A1A"/>
                <w:sz w:val="18"/>
              </w:rPr>
              <w:t>Protokoll vom 9. Dezember, Zahlen ohne Park</w:t>
            </w:r>
          </w:p>
        </w:tc>
        <w:tc>
          <w:tcPr>
            <w:tcW w:type="dxa" w:w="3213"/>
          </w:tcPr>
          <w:p>
            <w:pPr>
              <w:spacing w:after="0" w:before="0"/>
            </w:pPr>
            <w:r/>
            <w:r>
              <w:rPr>
                <w:b w:val="0"/>
                <w:i w:val="0"/>
                <w:color w:val="1A1A1A"/>
                <w:sz w:val="18"/>
              </w:rPr>
              <w:t>ob ihre Entscheidungen umgesetzt sind</w:t>
            </w:r>
          </w:p>
        </w:tc>
      </w:tr>
      <w:tr>
        <w:trPr>
          <w:cantSplit w:val="true"/>
        </w:trPr>
        <w:tc>
          <w:tcPr>
            <w:tcW w:type="dxa" w:w="3213"/>
            <w:shd w:val="clear" w:color="auto" w:fill="F3EFE6"/>
          </w:tcPr>
          <w:p>
            <w:pPr>
              <w:spacing w:after="0" w:before="0"/>
            </w:pPr>
            <w:r/>
            <w:r>
              <w:rPr>
                <w:b w:val="0"/>
                <w:i w:val="0"/>
                <w:color w:val="1A1A1A"/>
                <w:sz w:val="18"/>
              </w:rPr>
              <w:t>Kennt das Haus seine Rechtspflichten?</w:t>
            </w:r>
          </w:p>
        </w:tc>
        <w:tc>
          <w:tcPr>
            <w:tcW w:type="dxa" w:w="3213"/>
            <w:shd w:val="clear" w:color="auto" w:fill="F3EFE6"/>
          </w:tcPr>
          <w:p>
            <w:pPr>
              <w:spacing w:after="0" w:before="0"/>
            </w:pPr>
            <w:r/>
            <w:r>
              <w:rPr>
                <w:b w:val="0"/>
                <w:i w:val="0"/>
                <w:color w:val="1A1A1A"/>
                <w:sz w:val="18"/>
              </w:rPr>
              <w:t>keine Zeile zu Schall im Freien</w:t>
            </w:r>
          </w:p>
        </w:tc>
        <w:tc>
          <w:tcPr>
            <w:tcW w:type="dxa" w:w="3213"/>
            <w:shd w:val="clear" w:color="auto" w:fill="F3EFE6"/>
          </w:tcPr>
          <w:p>
            <w:pPr>
              <w:spacing w:after="0" w:before="0"/>
            </w:pPr>
            <w:r/>
            <w:r>
              <w:rPr>
                <w:b w:val="0"/>
                <w:i w:val="0"/>
                <w:color w:val="1A1A1A"/>
                <w:sz w:val="18"/>
              </w:rPr>
              <w:t>ob die Pflichten eingehalten werden</w:t>
            </w:r>
          </w:p>
        </w:tc>
      </w:tr>
      <w:tr>
        <w:trPr>
          <w:cantSplit w:val="true"/>
        </w:trPr>
        <w:tc>
          <w:tcPr>
            <w:tcW w:type="dxa" w:w="3213"/>
          </w:tcPr>
          <w:p>
            <w:pPr>
              <w:spacing w:after="0" w:before="0"/>
            </w:pPr>
            <w:r/>
            <w:r>
              <w:rPr>
                <w:b w:val="0"/>
                <w:i w:val="0"/>
                <w:color w:val="1A1A1A"/>
                <w:sz w:val="18"/>
              </w:rPr>
              <w:t>Wissen die Mitarbeitenden, was gilt?</w:t>
            </w:r>
          </w:p>
        </w:tc>
        <w:tc>
          <w:tcPr>
            <w:tcW w:type="dxa" w:w="3213"/>
          </w:tcPr>
          <w:p>
            <w:pPr>
              <w:spacing w:after="0" w:before="0"/>
            </w:pPr>
            <w:r/>
            <w:r>
              <w:rPr>
                <w:b w:val="0"/>
                <w:i w:val="0"/>
                <w:color w:val="1A1A1A"/>
                <w:sz w:val="18"/>
              </w:rPr>
              <w:t>Gespräch mit dem Bankettchef</w:t>
            </w:r>
          </w:p>
        </w:tc>
        <w:tc>
          <w:tcPr>
            <w:tcW w:type="dxa" w:w="3213"/>
          </w:tcPr>
          <w:p>
            <w:pPr>
              <w:spacing w:after="0" w:before="0"/>
            </w:pPr>
            <w:r/>
            <w:r>
              <w:rPr>
                <w:b w:val="0"/>
                <w:i w:val="0"/>
                <w:color w:val="1A1A1A"/>
                <w:sz w:val="18"/>
              </w:rPr>
              <w:t>Gespräche in allen Bereichen und Schichten</w:t>
            </w:r>
          </w:p>
        </w:tc>
      </w:tr>
      <w:tr>
        <w:trPr>
          <w:cantSplit w:val="true"/>
        </w:trPr>
        <w:tc>
          <w:tcPr>
            <w:tcW w:type="dxa" w:w="3213"/>
            <w:shd w:val="clear" w:color="auto" w:fill="F3EFE6"/>
          </w:tcPr>
          <w:p>
            <w:pPr>
              <w:spacing w:after="0" w:before="0"/>
            </w:pPr>
            <w:r/>
            <w:r>
              <w:rPr>
                <w:b w:val="0"/>
                <w:i w:val="0"/>
                <w:color w:val="1A1A1A"/>
                <w:sz w:val="18"/>
              </w:rPr>
              <w:t>Was muss Stufe 2 sehen?</w:t>
            </w:r>
          </w:p>
        </w:tc>
        <w:tc>
          <w:tcPr>
            <w:tcW w:type="dxa" w:w="3213"/>
            <w:shd w:val="clear" w:color="auto" w:fill="F3EFE6"/>
          </w:tcPr>
          <w:p>
            <w:pPr>
              <w:spacing w:after="0" w:before="0"/>
            </w:pPr>
            <w:r/>
            <w:r>
              <w:rPr>
                <w:b w:val="0"/>
                <w:i w:val="0"/>
                <w:color w:val="1A1A1A"/>
                <w:sz w:val="18"/>
              </w:rPr>
              <w:t>Tag mit Bankett im Saal und Anlass im Park</w:t>
            </w:r>
          </w:p>
        </w:tc>
        <w:tc>
          <w:tcPr>
            <w:tcW w:type="dxa" w:w="3213"/>
            <w:shd w:val="clear" w:color="auto" w:fill="F3EFE6"/>
          </w:tcPr>
          <w:p>
            <w:pPr>
              <w:spacing w:after="0" w:before="0"/>
            </w:pPr>
            <w:r/>
            <w:r>
              <w:rPr>
                <w:b w:val="0"/>
                <w:i w:val="0"/>
                <w:color w:val="1A1A1A"/>
                <w:sz w:val="18"/>
              </w:rPr>
              <w:t>–</w:t>
            </w:r>
          </w:p>
        </w:tc>
      </w:tr>
    </w:tbl>
    <w:p>
      <w:pPr>
        <w:spacing w:after="40"/>
      </w:pPr>
    </w:p>
    <w:p>
      <w:pPr>
        <w:pStyle w:val="Heading2"/>
      </w:pPr>
      <w:r>
        <w:t>Praktische Anwendung: die erste Stufe in sieben Schritten vorbereiten</w:t>
      </w:r>
    </w:p>
    <w:p>
      <w:pPr>
        <w:tabs>
          <w:tab w:pos="340" w:val="left"/>
        </w:tabs>
        <w:ind w:left="340" w:hanging="340"/>
      </w:pPr>
      <w:r>
        <w:rPr>
          <w:b/>
          <w:color w:val="8C5A2B"/>
        </w:rPr>
        <w:t>1.</w:t>
        <w:tab/>
      </w:r>
      <w:r>
        <w:rPr>
          <w:b/>
        </w:rPr>
        <w:t>Den Anwendungsbereich abgehen.</w:t>
      </w:r>
      <w:r>
        <w:t xml:space="preserve"> Gehen Sie mit der Seite durch das Haus und den Park. Jede Fläche, jede Art von Anlass und jede Leistung, die darauf steht, wird gezählt.</w:t>
      </w:r>
    </w:p>
    <w:p>
      <w:pPr>
        <w:tabs>
          <w:tab w:pos="340" w:val="left"/>
        </w:tabs>
        <w:ind w:left="340" w:hanging="340"/>
      </w:pPr>
      <w:r>
        <w:rPr>
          <w:b/>
          <w:color w:val="8C5A2B"/>
        </w:rPr>
        <w:t>2.</w:t>
        <w:tab/>
      </w:r>
      <w:r>
        <w:rPr>
          <w:b/>
        </w:rPr>
        <w:t>Jedem Teil seine Spur zuordnen.</w:t>
      </w:r>
      <w:r>
        <w:t xml:space="preserve"> Kennzahlen, Lehrennotizen, Stichprobe im internen Audit, Zeile im Rechtskataster. Wo eine Spur fehlt, schreiben Sie es auf.</w:t>
      </w:r>
    </w:p>
    <w:p>
      <w:pPr>
        <w:tabs>
          <w:tab w:pos="340" w:val="left"/>
        </w:tabs>
        <w:ind w:left="340" w:hanging="340"/>
      </w:pPr>
      <w:r>
        <w:rPr>
          <w:b/>
          <w:color w:val="8C5A2B"/>
        </w:rPr>
        <w:t>3.</w:t>
        <w:tab/>
      </w:r>
      <w:r>
        <w:rPr>
          <w:b/>
        </w:rPr>
        <w:t>Das interne Audit am Kalender messen.</w:t>
      </w:r>
      <w:r>
        <w:t xml:space="preserve"> Lagen alle Arten von Anlässen in dem Zeitraum, den das Audit sehen konnte? Fehlt eine Saison, braucht das Programm einen zweiten Termin.</w:t>
      </w:r>
    </w:p>
    <w:p>
      <w:pPr>
        <w:tabs>
          <w:tab w:pos="340" w:val="left"/>
        </w:tabs>
        <w:ind w:left="340" w:hanging="340"/>
      </w:pPr>
      <w:r>
        <w:rPr>
          <w:b/>
          <w:color w:val="8C5A2B"/>
        </w:rPr>
        <w:t>4.</w:t>
        <w:tab/>
      </w:r>
      <w:r>
        <w:rPr>
          <w:b/>
        </w:rPr>
        <w:t>Die Managementbewertung ehrlich beschriften.</w:t>
      </w:r>
      <w:r>
        <w:t xml:space="preserve"> Steht über einer Zahl «alle», muss sie alle umfassen. Sonst steht dort, welche Anlässe fehlen.</w:t>
      </w:r>
    </w:p>
    <w:p>
      <w:pPr>
        <w:tabs>
          <w:tab w:pos="340" w:val="left"/>
        </w:tabs>
        <w:ind w:left="340" w:hanging="340"/>
      </w:pPr>
      <w:r>
        <w:rPr>
          <w:b/>
          <w:color w:val="8C5A2B"/>
        </w:rPr>
        <w:t>5.</w:t>
        <w:tab/>
      </w:r>
      <w:r>
        <w:rPr>
          <w:b/>
        </w:rPr>
        <w:t>Das Rechtskataster an den Orten prüfen.</w:t>
      </w:r>
      <w:r>
        <w:t xml:space="preserve"> Für jede Fläche fragen: Welche Pflicht gilt hier, die anderswo nicht gilt? Lärm, Bewilligung, Abfall, Sicherheit im Freien.</w:t>
      </w:r>
    </w:p>
    <w:p>
      <w:pPr>
        <w:tabs>
          <w:tab w:pos="340" w:val="left"/>
        </w:tabs>
        <w:ind w:left="340" w:hanging="340"/>
      </w:pPr>
      <w:r>
        <w:rPr>
          <w:b/>
          <w:color w:val="8C5A2B"/>
        </w:rPr>
        <w:t>6.</w:t>
        <w:tab/>
      </w:r>
      <w:r>
        <w:rPr>
          <w:b/>
        </w:rPr>
        <w:t>Einen Termin für die zweite Stufe vorschlagen.</w:t>
      </w:r>
      <w:r>
        <w:t xml:space="preserve"> Legen Sie dem Auditor den Kalender der kommenden Monate vor und nennen Sie Tage, an denen möglichst viele Teile des Anwendungsbereichs arbeiten.</w:t>
      </w:r>
    </w:p>
    <w:p>
      <w:pPr>
        <w:tabs>
          <w:tab w:pos="340" w:val="left"/>
        </w:tabs>
        <w:ind w:left="340" w:hanging="340"/>
      </w:pPr>
      <w:r>
        <w:rPr>
          <w:b/>
          <w:color w:val="8C5A2B"/>
        </w:rPr>
        <w:t>7.</w:t>
        <w:tab/>
      </w:r>
      <w:r>
        <w:rPr>
          <w:b/>
        </w:rPr>
        <w:t>Die Schlussfolgerungen als Aufgabenliste führen.</w:t>
      </w:r>
      <w:r>
        <w:t xml:space="preserve"> Jeder Punkt aus dem Bericht bekommt eine verantwortliche Person, einen Termin und einen Nachweis, den Stufe 2 sehen kann.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Anwendungsbereich abgehen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Jedem Teil seine Spur zuordnen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interne Audit am Kalender messen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Managementbewertung ehrlich beschriften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Das Rechtskataster an den Orten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Einen Termin für die zweite Stufe vorschlagen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Schlussfolgerungen als Aufgabenliste führen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Hat jeder Teil unseres Anwendungsbereichs eine Spur im System?</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das interne Audit alle Arten von Anlässen sehen können, auch die der Sommersaison?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Umfassen die Zahlen der Managementbewertung, was ihre Beschriftung sagt?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das Rechtskataster eine Zeile für jeden Ort, an dem Anlässe stattfinden?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am Tag der ersten Stufe jemand erreichbar, der Anlässe selbst durchführt?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Liegt dem Auditor der Kalender der kommenden Monate vor?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jeder Punkt aus dem Bericht der ersten Stufe eine verantwortliche Person und einen Termin?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Wirbt das Haus nirgends so, als sei es bereits zertifiziert?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erste Stufe als Formalität behandeln.</w:t>
      </w:r>
      <w:r>
        <w:t xml:space="preserve"> Was dort nicht auffällt, fällt in Stufe 2 auf, dann mit Folgen für die Entscheidung.</w:t>
      </w:r>
    </w:p>
    <w:p>
      <w:pPr>
        <w:tabs>
          <w:tab w:pos="340" w:val="left"/>
        </w:tabs>
        <w:ind w:left="340" w:hanging="340"/>
      </w:pPr>
      <w:r>
        <w:rPr>
          <w:color w:val="8C5A2B"/>
        </w:rPr>
        <w:t>–</w:t>
        <w:tab/>
      </w:r>
      <w:r>
        <w:rPr>
          <w:b/>
        </w:rPr>
        <w:t>Mehr in den Anwendungsbereich schreiben, als das System erfasst.</w:t>
      </w:r>
      <w:r>
        <w:t xml:space="preserve"> Der Auditor prüft jede Fläche, die darauf steht.</w:t>
      </w:r>
    </w:p>
    <w:p>
      <w:pPr>
        <w:tabs>
          <w:tab w:pos="340" w:val="left"/>
        </w:tabs>
        <w:ind w:left="340" w:hanging="340"/>
      </w:pPr>
      <w:r>
        <w:rPr>
          <w:color w:val="8C5A2B"/>
        </w:rPr>
        <w:t>–</w:t>
        <w:tab/>
      </w:r>
      <w:r>
        <w:rPr>
          <w:b/>
        </w:rPr>
        <w:t>Das interne Audit in die ruhige Zeit legen.</w:t>
      </w:r>
      <w:r>
        <w:t xml:space="preserve"> Es sieht dann nur, was in der ruhigen Zeit stattfindet.</w:t>
      </w:r>
    </w:p>
    <w:p>
      <w:pPr>
        <w:tabs>
          <w:tab w:pos="340" w:val="left"/>
        </w:tabs>
        <w:ind w:left="340" w:hanging="340"/>
      </w:pPr>
      <w:r>
        <w:rPr>
          <w:color w:val="8C5A2B"/>
        </w:rPr>
        <w:t>–</w:t>
        <w:tab/>
      </w:r>
      <w:r>
        <w:rPr>
          <w:b/>
        </w:rPr>
        <w:t>Eine Teilmenge als Ganzes beschriften.</w:t>
      </w:r>
      <w:r>
        <w:t xml:space="preserve"> Die Leitung bewertet sonst ein kleineres Haus, als sie glaubt.</w:t>
      </w:r>
    </w:p>
    <w:p>
      <w:pPr>
        <w:tabs>
          <w:tab w:pos="340" w:val="left"/>
        </w:tabs>
        <w:ind w:left="340" w:hanging="340"/>
      </w:pPr>
      <w:r>
        <w:rPr>
          <w:color w:val="8C5A2B"/>
        </w:rPr>
        <w:t>–</w:t>
        <w:tab/>
      </w:r>
      <w:r>
        <w:rPr>
          <w:b/>
        </w:rPr>
        <w:t>Nur Ordner bereitstellen.</w:t>
      </w:r>
      <w:r>
        <w:t xml:space="preserve"> Die Bereitschaft wird auch im Gespräch mit dem Personal festgestellt.</w:t>
      </w:r>
    </w:p>
    <w:p>
      <w:pPr>
        <w:tabs>
          <w:tab w:pos="340" w:val="left"/>
        </w:tabs>
        <w:ind w:left="340" w:hanging="340"/>
      </w:pPr>
      <w:r>
        <w:rPr>
          <w:color w:val="8C5A2B"/>
        </w:rPr>
        <w:t>–</w:t>
        <w:tab/>
      </w:r>
      <w:r>
        <w:rPr>
          <w:b/>
        </w:rPr>
        <w:t>Vom Auditor einen Rat erwarten.</w:t>
      </w:r>
      <w:r>
        <w:t xml:space="preserve"> Er nennt den Punkt; wie das Haus ihn erledigt, entscheidet es selbst.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Stufe 1: ein Audittag</w:t>
            </w:r>
          </w:p>
        </w:tc>
        <w:tc>
          <w:tcPr>
            <w:tcW w:type="dxa" w:w="1474"/>
          </w:tcPr>
          <w:p>
            <w:pPr>
              <w:spacing w:after="0" w:before="0"/>
            </w:pPr>
            <w:r/>
            <w:r>
              <w:rPr>
                <w:b w:val="0"/>
                <w:i w:val="0"/>
                <w:color w:val="1A1A1A"/>
                <w:sz w:val="18"/>
              </w:rPr>
              <w:t>CHF 1.700</w:t>
            </w:r>
          </w:p>
        </w:tc>
        <w:tc>
          <w:tcPr>
            <w:tcW w:type="dxa" w:w="3175"/>
          </w:tcPr>
          <w:p>
            <w:pPr>
              <w:spacing w:after="0" w:before="0"/>
            </w:pPr>
            <w:r/>
            <w:r>
              <w:rPr>
                <w:b w:val="0"/>
                <w:i w:val="0"/>
                <w:color w:val="1A1A1A"/>
                <w:sz w:val="18"/>
              </w:rPr>
              <w:t>Satz der Stelle im Fall</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Vorbereitung der ersten Stufe</w:t>
            </w:r>
          </w:p>
        </w:tc>
        <w:tc>
          <w:tcPr>
            <w:tcW w:type="dxa" w:w="1474"/>
            <w:shd w:val="clear" w:color="auto" w:fill="F3EFE6"/>
          </w:tcPr>
          <w:p>
            <w:pPr>
              <w:spacing w:after="0" w:before="0"/>
            </w:pPr>
            <w:r/>
            <w:r>
              <w:rPr>
                <w:b w:val="0"/>
                <w:i w:val="0"/>
                <w:color w:val="1A1A1A"/>
                <w:sz w:val="18"/>
              </w:rPr>
              <w:t>12 Stunden</w:t>
            </w:r>
          </w:p>
        </w:tc>
        <w:tc>
          <w:tcPr>
            <w:tcW w:type="dxa" w:w="3175"/>
            <w:shd w:val="clear" w:color="auto" w:fill="F3EFE6"/>
          </w:tcPr>
          <w:p>
            <w:pPr>
              <w:spacing w:after="0" w:before="0"/>
            </w:pPr>
            <w:r/>
            <w:r>
              <w:rPr>
                <w:b w:val="0"/>
                <w:i w:val="0"/>
                <w:color w:val="1A1A1A"/>
                <w:sz w:val="18"/>
              </w:rPr>
              <w:t>Qualitätsleiterin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Internes Audit im Park, ein halber Tag</w:t>
            </w:r>
          </w:p>
        </w:tc>
        <w:tc>
          <w:tcPr>
            <w:tcW w:type="dxa" w:w="1474"/>
          </w:tcPr>
          <w:p>
            <w:pPr>
              <w:spacing w:after="0" w:before="0"/>
            </w:pPr>
            <w:r/>
            <w:r>
              <w:rPr>
                <w:b w:val="0"/>
                <w:i w:val="0"/>
                <w:color w:val="1A1A1A"/>
                <w:sz w:val="18"/>
              </w:rPr>
              <w:t>CHF 850</w:t>
            </w:r>
          </w:p>
        </w:tc>
        <w:tc>
          <w:tcPr>
            <w:tcW w:type="dxa" w:w="3175"/>
          </w:tcPr>
          <w:p>
            <w:pPr>
              <w:spacing w:after="0" w:before="0"/>
            </w:pPr>
            <w:r/>
            <w:r>
              <w:rPr>
                <w:b w:val="0"/>
                <w:i w:val="0"/>
                <w:color w:val="1A1A1A"/>
                <w:sz w:val="18"/>
              </w:rPr>
              <w:t>externe Auditorin, beim ersten Anlass im Mai</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Pegelmessung bei zwei Anlässen, Rechtskataster ergänzen</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Haustechnik, Qualitätsleiterin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Zusätzlicher Audittag, falls der Park erst in Stufe 2 ohne Spur auffällt</w:t>
            </w:r>
          </w:p>
        </w:tc>
        <w:tc>
          <w:tcPr>
            <w:tcW w:type="dxa" w:w="1474"/>
          </w:tcPr>
          <w:p>
            <w:pPr>
              <w:spacing w:after="0" w:before="0"/>
            </w:pPr>
            <w:r/>
            <w:r>
              <w:rPr>
                <w:b w:val="0"/>
                <w:i w:val="0"/>
                <w:color w:val="1A1A1A"/>
                <w:sz w:val="18"/>
              </w:rPr>
              <w:t>CHF 1.700</w:t>
            </w:r>
          </w:p>
        </w:tc>
        <w:tc>
          <w:tcPr>
            <w:tcW w:type="dxa" w:w="3175"/>
          </w:tcPr>
          <w:p>
            <w:pPr>
              <w:spacing w:after="0" w:before="0"/>
            </w:pPr>
            <w:r/>
            <w:r>
              <w:rPr>
                <w:b w:val="0"/>
                <w:i w:val="0"/>
                <w:color w:val="1A1A1A"/>
                <w:sz w:val="18"/>
              </w:rPr>
              <w:t>zuzüglich Reise; Annahme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Umsatz der 22 Anlässe im Park</w:t>
            </w:r>
          </w:p>
        </w:tc>
        <w:tc>
          <w:tcPr>
            <w:tcW w:type="dxa" w:w="1474"/>
            <w:shd w:val="clear" w:color="auto" w:fill="F3EFE6"/>
          </w:tcPr>
          <w:p>
            <w:pPr>
              <w:spacing w:after="0" w:before="0"/>
            </w:pPr>
            <w:r/>
            <w:r>
              <w:rPr>
                <w:b w:val="0"/>
                <w:i w:val="0"/>
                <w:color w:val="1A1A1A"/>
                <w:sz w:val="18"/>
              </w:rPr>
              <w:t>CHF 396.000</w:t>
            </w:r>
          </w:p>
        </w:tc>
        <w:tc>
          <w:tcPr>
            <w:tcW w:type="dxa" w:w="3175"/>
            <w:shd w:val="clear" w:color="auto" w:fill="F3EFE6"/>
          </w:tcPr>
          <w:p>
            <w:pPr>
              <w:spacing w:after="0" w:before="0"/>
            </w:pPr>
            <w:r/>
            <w:r>
              <w:rPr>
                <w:b w:val="0"/>
                <w:i w:val="0"/>
                <w:color w:val="1A1A1A"/>
                <w:sz w:val="18"/>
              </w:rPr>
              <w:t>Umsatz, nicht Gewinn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Stunden und Franken nebeneinander, ohne sie zu verrechnen. Die Hausaufgaben aus der ersten Stufe kosten das Haus einen halben Audittag und achtzehn Stunden eigener Arbeit. Der Umsatz der Anlässe im Park ist kein Gewinn und kein Betrag, den eine Zertifizierung sichert. Er zeigt nur, wie gross der Teil des Geschäfts ist, für den der Anwendungsbereich eine Aussage macht.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Erstaudit in zwei Stufen, als ein Audit (ISO/IEC 17021-1, 9.3.1.1)</w:t>
            </w:r>
          </w:p>
        </w:tc>
        <w:tc>
          <w:tcPr>
            <w:tcW w:type="dxa" w:w="3175"/>
          </w:tcPr>
          <w:p>
            <w:pPr>
              <w:spacing w:after="0" w:before="0"/>
            </w:pPr>
            <w:r/>
            <w:r>
              <w:rPr>
                <w:b w:val="0"/>
                <w:i w:val="0"/>
                <w:color w:val="1A1A1A"/>
                <w:sz w:val="18"/>
              </w:rPr>
              <w:t>Termine beider Stufen im Angebot</w:t>
            </w:r>
          </w:p>
        </w:tc>
        <w:tc>
          <w:tcPr>
            <w:tcW w:type="dxa" w:w="3175"/>
          </w:tcPr>
          <w:p>
            <w:pPr>
              <w:spacing w:after="0" w:before="0"/>
            </w:pPr>
            <w:r/>
            <w:r>
              <w:rPr>
                <w:b w:val="0"/>
                <w:i w:val="0"/>
                <w:color w:val="1A1A1A"/>
                <w:sz w:val="18"/>
              </w:rPr>
              <w:t>Methode: Stufe 2 auf einen Tag mit Anlass legen lassen</w:t>
            </w:r>
          </w:p>
        </w:tc>
      </w:tr>
      <w:tr>
        <w:trPr>
          <w:cantSplit w:val="true"/>
        </w:trPr>
        <w:tc>
          <w:tcPr>
            <w:tcW w:type="dxa" w:w="3288"/>
            <w:shd w:val="clear" w:color="auto" w:fill="F3EFE6"/>
          </w:tcPr>
          <w:p>
            <w:pPr>
              <w:spacing w:after="0" w:before="0"/>
            </w:pPr>
            <w:r/>
            <w:r>
              <w:rPr>
                <w:b w:val="0"/>
                <w:i w:val="0"/>
                <w:color w:val="1A1A1A"/>
                <w:sz w:val="18"/>
              </w:rPr>
              <w:t>Bereitschaft für Stufe 2 feststellen, auch im Gespräch mit dem Personal (9.3.1.2.2)</w:t>
            </w:r>
          </w:p>
        </w:tc>
        <w:tc>
          <w:tcPr>
            <w:tcW w:type="dxa" w:w="3175"/>
            <w:shd w:val="clear" w:color="auto" w:fill="F3EFE6"/>
          </w:tcPr>
          <w:p>
            <w:pPr>
              <w:spacing w:after="0" w:before="0"/>
            </w:pPr>
            <w:r/>
            <w:r>
              <w:rPr>
                <w:b w:val="0"/>
                <w:i w:val="0"/>
                <w:color w:val="1A1A1A"/>
                <w:sz w:val="18"/>
              </w:rPr>
              <w:t>Stunde mit dem Bankettchef</w:t>
            </w:r>
          </w:p>
        </w:tc>
        <w:tc>
          <w:tcPr>
            <w:tcW w:type="dxa" w:w="3175"/>
            <w:shd w:val="clear" w:color="auto" w:fill="F3EFE6"/>
          </w:tcPr>
          <w:p>
            <w:pPr>
              <w:spacing w:after="0" w:before="0"/>
            </w:pPr>
            <w:r/>
            <w:r>
              <w:rPr>
                <w:b w:val="0"/>
                <w:i w:val="0"/>
                <w:color w:val="1A1A1A"/>
                <w:sz w:val="18"/>
              </w:rPr>
              <w:t>Methode: Personal aus jedem Teil des Anwendungsbereichs erreichbar</w:t>
            </w:r>
          </w:p>
        </w:tc>
      </w:tr>
      <w:tr>
        <w:trPr>
          <w:cantSplit w:val="true"/>
        </w:trPr>
        <w:tc>
          <w:tcPr>
            <w:tcW w:type="dxa" w:w="3288"/>
          </w:tcPr>
          <w:p>
            <w:pPr>
              <w:spacing w:after="0" w:before="0"/>
            </w:pPr>
            <w:r/>
            <w:r>
              <w:rPr>
                <w:b w:val="0"/>
                <w:i w:val="0"/>
                <w:color w:val="1A1A1A"/>
                <w:sz w:val="18"/>
              </w:rPr>
              <w:t>Schlussfolgerungen dokumentiert, vor Stufe 2 mitgeteilt (9.3.1.2.3)</w:t>
            </w:r>
          </w:p>
        </w:tc>
        <w:tc>
          <w:tcPr>
            <w:tcW w:type="dxa" w:w="3175"/>
          </w:tcPr>
          <w:p>
            <w:pPr>
              <w:spacing w:after="0" w:before="0"/>
            </w:pPr>
            <w:r/>
            <w:r>
              <w:rPr>
                <w:b w:val="0"/>
                <w:i w:val="0"/>
                <w:color w:val="1A1A1A"/>
                <w:sz w:val="18"/>
              </w:rPr>
              <w:t>Bericht mit drei Punkten, acht Tage später</w:t>
            </w:r>
          </w:p>
        </w:tc>
        <w:tc>
          <w:tcPr>
            <w:tcW w:type="dxa" w:w="3175"/>
          </w:tcPr>
          <w:p>
            <w:pPr>
              <w:spacing w:after="0" w:before="0"/>
            </w:pPr>
            <w:r/>
            <w:r>
              <w:rPr>
                <w:b w:val="0"/>
                <w:i w:val="0"/>
                <w:color w:val="1A1A1A"/>
                <w:sz w:val="18"/>
              </w:rPr>
              <w:t>Methode: Punkte als Aufgabenliste mit Termin führen</w:t>
            </w:r>
          </w:p>
        </w:tc>
      </w:tr>
      <w:tr>
        <w:trPr>
          <w:cantSplit w:val="true"/>
        </w:trPr>
        <w:tc>
          <w:tcPr>
            <w:tcW w:type="dxa" w:w="3288"/>
            <w:shd w:val="clear" w:color="auto" w:fill="F3EFE6"/>
          </w:tcPr>
          <w:p>
            <w:pPr>
              <w:spacing w:after="0" w:before="0"/>
            </w:pPr>
            <w:r/>
            <w:r>
              <w:rPr>
                <w:b w:val="0"/>
                <w:i w:val="0"/>
                <w:color w:val="1A1A1A"/>
                <w:sz w:val="18"/>
              </w:rPr>
              <w:t>Anwendungsbereich als dokumentierte Information (ISO 20121, 4.3)</w:t>
            </w:r>
          </w:p>
        </w:tc>
        <w:tc>
          <w:tcPr>
            <w:tcW w:type="dxa" w:w="3175"/>
            <w:shd w:val="clear" w:color="auto" w:fill="F3EFE6"/>
          </w:tcPr>
          <w:p>
            <w:pPr>
              <w:spacing w:after="0" w:before="0"/>
            </w:pPr>
            <w:r/>
            <w:r>
              <w:rPr>
                <w:b w:val="0"/>
                <w:i w:val="0"/>
                <w:color w:val="1A1A1A"/>
                <w:sz w:val="18"/>
              </w:rPr>
              <w:t>eine datierte, unterschriebene Seite</w:t>
            </w:r>
          </w:p>
        </w:tc>
        <w:tc>
          <w:tcPr>
            <w:tcW w:type="dxa" w:w="3175"/>
            <w:shd w:val="clear" w:color="auto" w:fill="F3EFE6"/>
          </w:tcPr>
          <w:p>
            <w:pPr>
              <w:spacing w:after="0" w:before="0"/>
            </w:pPr>
            <w:r/>
            <w:r>
              <w:rPr>
                <w:b w:val="0"/>
                <w:i w:val="0"/>
                <w:color w:val="1A1A1A"/>
                <w:sz w:val="18"/>
              </w:rPr>
              <w:t>A.5: zeitliche Grenzen; Methode: Spurprobe je Fläche</w:t>
            </w:r>
          </w:p>
        </w:tc>
      </w:tr>
      <w:tr>
        <w:trPr>
          <w:cantSplit w:val="true"/>
        </w:trPr>
        <w:tc>
          <w:tcPr>
            <w:tcW w:type="dxa" w:w="3288"/>
          </w:tcPr>
          <w:p>
            <w:pPr>
              <w:spacing w:after="0" w:before="0"/>
            </w:pPr>
            <w:r/>
            <w:r>
              <w:rPr>
                <w:b w:val="0"/>
                <w:i w:val="0"/>
                <w:color w:val="1A1A1A"/>
                <w:sz w:val="18"/>
              </w:rPr>
              <w:t>Interne Audits in geplanten Abständen, mit Programm (9.2)</w:t>
            </w:r>
          </w:p>
        </w:tc>
        <w:tc>
          <w:tcPr>
            <w:tcW w:type="dxa" w:w="3175"/>
          </w:tcPr>
          <w:p>
            <w:pPr>
              <w:spacing w:after="0" w:before="0"/>
            </w:pPr>
            <w:r/>
            <w:r>
              <w:rPr>
                <w:b w:val="0"/>
                <w:i w:val="0"/>
                <w:color w:val="1A1A1A"/>
                <w:sz w:val="18"/>
              </w:rPr>
              <w:t>Auditprogramm, Bericht vom November</w:t>
            </w:r>
          </w:p>
        </w:tc>
        <w:tc>
          <w:tcPr>
            <w:tcW w:type="dxa" w:w="3175"/>
          </w:tcPr>
          <w:p>
            <w:pPr>
              <w:spacing w:after="0" w:before="0"/>
            </w:pPr>
            <w:r/>
            <w:r>
              <w:rPr>
                <w:b w:val="0"/>
                <w:i w:val="0"/>
                <w:color w:val="1A1A1A"/>
                <w:sz w:val="18"/>
              </w:rPr>
              <w:t>ISO 19011:2026: Programm nach Grösse, Komplexität, Risiken und Reife bemessen</w:t>
            </w:r>
          </w:p>
        </w:tc>
      </w:tr>
      <w:tr>
        <w:trPr>
          <w:cantSplit w:val="true"/>
        </w:trPr>
        <w:tc>
          <w:tcPr>
            <w:tcW w:type="dxa" w:w="3288"/>
            <w:shd w:val="clear" w:color="auto" w:fill="F3EFE6"/>
          </w:tcPr>
          <w:p>
            <w:pPr>
              <w:spacing w:after="0" w:before="0"/>
            </w:pPr>
            <w:r/>
            <w:r>
              <w:rPr>
                <w:b w:val="0"/>
                <w:i w:val="0"/>
                <w:color w:val="1A1A1A"/>
                <w:sz w:val="18"/>
              </w:rPr>
              <w:t>Managementbewertung in geplanten Abständen (9.3)</w:t>
            </w:r>
          </w:p>
        </w:tc>
        <w:tc>
          <w:tcPr>
            <w:tcW w:type="dxa" w:w="3175"/>
            <w:shd w:val="clear" w:color="auto" w:fill="F3EFE6"/>
          </w:tcPr>
          <w:p>
            <w:pPr>
              <w:spacing w:after="0" w:before="0"/>
            </w:pPr>
            <w:r/>
            <w:r>
              <w:rPr>
                <w:b w:val="0"/>
                <w:i w:val="0"/>
                <w:color w:val="1A1A1A"/>
                <w:sz w:val="18"/>
              </w:rPr>
              <w:t>Protokoll vom 9. Dezember</w:t>
            </w:r>
          </w:p>
        </w:tc>
        <w:tc>
          <w:tcPr>
            <w:tcW w:type="dxa" w:w="3175"/>
            <w:shd w:val="clear" w:color="auto" w:fill="F3EFE6"/>
          </w:tcPr>
          <w:p>
            <w:pPr>
              <w:spacing w:after="0" w:before="0"/>
            </w:pPr>
            <w:r/>
            <w:r>
              <w:rPr>
                <w:b w:val="0"/>
                <w:i w:val="0"/>
                <w:color w:val="1A1A1A"/>
                <w:sz w:val="18"/>
              </w:rPr>
              <w:t>Methode: Bewertung nennt, welche Teile ohne Daten sind</w:t>
            </w:r>
          </w:p>
        </w:tc>
      </w:tr>
    </w:tbl>
    <w:p>
      <w:pPr>
        <w:spacing w:after="40"/>
      </w:pPr>
    </w:p>
    <w:p>
      <w:pPr>
        <w:pStyle w:val="Heading2"/>
      </w:pPr>
      <w:r>
        <w:t>DACH-Anker: was das Recht zur ersten Stufe beiträgt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Programm für DIN ISO 20121 bei der DAkkS laut Branchenmeldung vom Juli 2026 beantragt; Entscheidung im September 2026 ausstehend</w:t>
            </w:r>
          </w:p>
        </w:tc>
        <w:tc>
          <w:tcPr>
            <w:tcW w:type="dxa" w:w="2721"/>
          </w:tcPr>
          <w:p>
            <w:pPr>
              <w:spacing w:after="0" w:before="0"/>
            </w:pPr>
            <w:r/>
            <w:r>
              <w:rPr>
                <w:b w:val="0"/>
                <w:i w:val="0"/>
                <w:color w:val="1A1A1A"/>
                <w:sz w:val="17"/>
              </w:rPr>
              <w:t>Akkreditierung Austria; im Einzelfall erfragen, ob ISO 20121 im Geltungsbereich der Stelle steht</w:t>
            </w:r>
          </w:p>
        </w:tc>
        <w:tc>
          <w:tcPr>
            <w:tcW w:type="dxa" w:w="2721"/>
          </w:tcPr>
          <w:p>
            <w:pPr>
              <w:spacing w:after="0" w:before="0"/>
            </w:pPr>
            <w:r/>
            <w:r>
              <w:rPr>
                <w:b w:val="0"/>
                <w:i w:val="0"/>
                <w:color w:val="1A1A1A"/>
                <w:sz w:val="17"/>
              </w:rPr>
              <w:t>Schweizerische Akkreditierungsstelle SAS; im Einzelfall erfragen</w:t>
            </w:r>
          </w:p>
        </w:tc>
      </w:tr>
      <w:tr>
        <w:trPr>
          <w:cantSplit w:val="true"/>
        </w:trPr>
        <w:tc>
          <w:tcPr>
            <w:tcW w:type="dxa" w:w="1474"/>
            <w:shd w:val="clear" w:color="auto" w:fill="F3EFE6"/>
          </w:tcPr>
          <w:p>
            <w:pPr>
              <w:spacing w:after="0" w:before="0"/>
            </w:pPr>
            <w:r/>
            <w:r>
              <w:rPr>
                <w:b w:val="0"/>
                <w:i w:val="0"/>
                <w:color w:val="1A1A1A"/>
                <w:sz w:val="17"/>
              </w:rPr>
              <w:t>Einsicht in Unterlagen mit Personendaten</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Datenschutzgesetz des Bundes</w:t>
            </w:r>
          </w:p>
        </w:tc>
      </w:tr>
      <w:tr>
        <w:trPr>
          <w:cantSplit w:val="true"/>
        </w:trPr>
        <w:tc>
          <w:tcPr>
            <w:tcW w:type="dxa" w:w="1474"/>
          </w:tcPr>
          <w:p>
            <w:pPr>
              <w:spacing w:after="0" w:before="0"/>
            </w:pPr>
            <w:r/>
            <w:r>
              <w:rPr>
                <w:b w:val="0"/>
                <w:i w:val="0"/>
                <w:color w:val="1A1A1A"/>
                <w:sz w:val="17"/>
              </w:rPr>
              <w:t>Anlässe im Freien im Rechtskataster</w:t>
            </w:r>
          </w:p>
        </w:tc>
        <w:tc>
          <w:tcPr>
            <w:tcW w:type="dxa" w:w="2721"/>
          </w:tcPr>
          <w:p>
            <w:pPr>
              <w:spacing w:after="0" w:before="0"/>
            </w:pPr>
            <w:r/>
            <w:r>
              <w:rPr>
                <w:b w:val="0"/>
                <w:i w:val="0"/>
                <w:color w:val="1A1A1A"/>
                <w:sz w:val="17"/>
              </w:rPr>
              <w:t>Landesrecht; Immissionsschutzrecht</w:t>
            </w:r>
          </w:p>
        </w:tc>
        <w:tc>
          <w:tcPr>
            <w:tcW w:type="dxa" w:w="2721"/>
          </w:tcPr>
          <w:p>
            <w:pPr>
              <w:spacing w:after="0" w:before="0"/>
            </w:pPr>
            <w:r/>
            <w:r>
              <w:rPr>
                <w:b w:val="0"/>
                <w:i w:val="0"/>
                <w:color w:val="1A1A1A"/>
                <w:sz w:val="17"/>
              </w:rPr>
              <w:t>Veranstaltungsgesetze der Bundesländer</w:t>
            </w:r>
          </w:p>
        </w:tc>
        <w:tc>
          <w:tcPr>
            <w:tcW w:type="dxa" w:w="2721"/>
          </w:tcPr>
          <w:p>
            <w:pPr>
              <w:spacing w:after="0" w:before="0"/>
            </w:pPr>
            <w:r/>
            <w:r>
              <w:rPr>
                <w:b w:val="0"/>
                <w:i w:val="0"/>
                <w:color w:val="1A1A1A"/>
                <w:sz w:val="17"/>
              </w:rPr>
              <w:t>kantonales Recht; Schall nach V-NISSG: Pflichten bei mehr als 93 dB(A) LAeq,1h</w:t>
            </w:r>
          </w:p>
        </w:tc>
      </w:tr>
      <w:tr>
        <w:trPr>
          <w:cantSplit w:val="true"/>
        </w:trPr>
        <w:tc>
          <w:tcPr>
            <w:tcW w:type="dxa" w:w="1474"/>
            <w:shd w:val="clear" w:color="auto" w:fill="F3EFE6"/>
          </w:tcPr>
          <w:p>
            <w:pPr>
              <w:spacing w:after="0" w:before="0"/>
            </w:pPr>
            <w:r/>
            <w:r>
              <w:rPr>
                <w:b w:val="0"/>
                <w:i w:val="0"/>
                <w:color w:val="1A1A1A"/>
                <w:sz w:val="17"/>
              </w:rPr>
              <w:t>Werbung mit einer laufenden Zertifizierung</w:t>
            </w:r>
          </w:p>
        </w:tc>
        <w:tc>
          <w:tcPr>
            <w:tcW w:type="dxa" w:w="2721"/>
            <w:shd w:val="clear" w:color="auto" w:fill="F3EFE6"/>
          </w:tcPr>
          <w:p>
            <w:pPr>
              <w:spacing w:after="0" w:before="0"/>
            </w:pPr>
            <w:r/>
            <w:r>
              <w:rPr>
                <w:b w:val="0"/>
                <w:i w:val="0"/>
                <w:color w:val="1A1A1A"/>
                <w:sz w:val="17"/>
              </w:rPr>
              <w:t>allgemeines Irreführungsverbot im UWG</w:t>
            </w:r>
          </w:p>
        </w:tc>
        <w:tc>
          <w:tcPr>
            <w:tcW w:type="dxa" w:w="2721"/>
            <w:shd w:val="clear" w:color="auto" w:fill="F3EFE6"/>
          </w:tcPr>
          <w:p>
            <w:pPr>
              <w:spacing w:after="0" w:before="0"/>
            </w:pPr>
            <w:r/>
            <w:r>
              <w:rPr>
                <w:b w:val="0"/>
                <w:i w:val="0"/>
                <w:color w:val="1A1A1A"/>
                <w:sz w:val="17"/>
              </w:rPr>
              <w:t>allgemeines Irreführungsverbot im UWG</w:t>
            </w:r>
          </w:p>
        </w:tc>
        <w:tc>
          <w:tcPr>
            <w:tcW w:type="dxa" w:w="2721"/>
            <w:shd w:val="clear" w:color="auto" w:fill="F3EFE6"/>
          </w:tcPr>
          <w:p>
            <w:pPr>
              <w:spacing w:after="0" w:before="0"/>
            </w:pPr>
            <w:r/>
            <w:r>
              <w:rPr>
                <w:b w:val="0"/>
                <w:i w:val="0"/>
                <w:color w:val="1A1A1A"/>
                <w:sz w:val="17"/>
              </w:rPr>
              <w:t>UWG Art. 3 Abs. 1 lit. b</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4.4 — Die erste Stufe vorbereiten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