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4.5</w:t>
      </w:r>
    </w:p>
    <w:p>
      <w:pPr>
        <w:pStyle w:val="Heading1"/>
      </w:pPr>
      <w:r>
        <w:t>Die zweite Stufe vorbereiten</w:t>
      </w:r>
    </w:p>
    <w:p>
      <w:pPr>
        <w:spacing w:after="0"/>
      </w:pPr>
      <w:r>
        <w:rPr>
          <w:b w:val="0"/>
          <w:i/>
          <w:color w:val="5A5A5A"/>
        </w:rPr>
        <w:t>Abschnitt 4.5 · Stufe 2: die Wirksamkeit</w:t>
      </w:r>
    </w:p>
    <w:p>
      <w:pPr>
        <w:spacing w:after="160"/>
      </w:pPr>
      <w:r>
        <w:rPr>
          <w:b w:val="0"/>
          <w:i w:val="0"/>
          <w:color w:val="5A5A5A"/>
          <w:sz w:val="18"/>
        </w:rPr>
        <w:t>Modellfall im Buch: Düsseldorf</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die Auditorin morgen ein einziges Ziel Ihres Systems herausgreift und es von der Unterschrift der Leitung bis an den Ort verfolgt, an dem es erreicht werden soll: Wo würde die Spur halten, und wo würde sie reißen? Und könnte jeder in Ihrem Haus, auch die Aushilfe vom Vortag, ihr den Weg zeigen, ohne dass jemand für ihn antwortet?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Wie die Auditorin eine Spur verfolgt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Station</w:t>
            </w:r>
          </w:p>
        </w:tc>
        <w:tc>
          <w:tcPr>
            <w:tcW w:type="dxa" w:w="3213"/>
            <w:shd w:val="clear" w:color="auto" w:fill="8C5A2B"/>
          </w:tcPr>
          <w:p>
            <w:pPr>
              <w:spacing w:after="0" w:before="0"/>
            </w:pPr>
            <w:r/>
            <w:r>
              <w:rPr>
                <w:b/>
                <w:i w:val="0"/>
                <w:color w:val="FFFFFF"/>
                <w:sz w:val="18"/>
              </w:rPr>
              <w:t>Frage der Auditorin</w:t>
            </w:r>
          </w:p>
        </w:tc>
        <w:tc>
          <w:tcPr>
            <w:tcW w:type="dxa" w:w="3213"/>
            <w:shd w:val="clear" w:color="auto" w:fill="8C5A2B"/>
          </w:tcPr>
          <w:p>
            <w:pPr>
              <w:spacing w:after="0" w:before="0"/>
            </w:pPr>
            <w:r/>
            <w:r>
              <w:rPr>
                <w:b/>
                <w:i w:val="0"/>
                <w:color w:val="FFFFFF"/>
                <w:sz w:val="18"/>
              </w:rPr>
              <w:t>Art des Nachweises</w:t>
            </w:r>
          </w:p>
        </w:tc>
      </w:tr>
      <w:tr>
        <w:trPr>
          <w:cantSplit w:val="true"/>
        </w:trPr>
        <w:tc>
          <w:tcPr>
            <w:tcW w:type="dxa" w:w="3213"/>
          </w:tcPr>
          <w:p>
            <w:pPr>
              <w:spacing w:after="0" w:before="0"/>
            </w:pPr>
            <w:r/>
            <w:r>
              <w:rPr>
                <w:b w:val="0"/>
                <w:i w:val="0"/>
                <w:color w:val="1A1A1A"/>
                <w:sz w:val="18"/>
              </w:rPr>
              <w:t>Leitung</w:t>
            </w:r>
          </w:p>
        </w:tc>
        <w:tc>
          <w:tcPr>
            <w:tcW w:type="dxa" w:w="3213"/>
          </w:tcPr>
          <w:p>
            <w:pPr>
              <w:spacing w:after="0" w:before="0"/>
            </w:pPr>
            <w:r/>
            <w:r>
              <w:rPr>
                <w:b w:val="0"/>
                <w:i w:val="0"/>
                <w:color w:val="1A1A1A"/>
                <w:sz w:val="18"/>
              </w:rPr>
              <w:t>Was soll das System erreichen, und woran misst die Leitung es?</w:t>
            </w:r>
          </w:p>
        </w:tc>
        <w:tc>
          <w:tcPr>
            <w:tcW w:type="dxa" w:w="3213"/>
          </w:tcPr>
          <w:p>
            <w:pPr>
              <w:spacing w:after="0" w:before="0"/>
            </w:pPr>
            <w:r/>
            <w:r>
              <w:rPr>
                <w:b w:val="0"/>
                <w:i w:val="0"/>
                <w:color w:val="1A1A1A"/>
                <w:sz w:val="18"/>
              </w:rPr>
              <w:t>Gespräch, Politik</w:t>
            </w:r>
          </w:p>
        </w:tc>
      </w:tr>
      <w:tr>
        <w:trPr>
          <w:cantSplit w:val="true"/>
        </w:trPr>
        <w:tc>
          <w:tcPr>
            <w:tcW w:type="dxa" w:w="3213"/>
            <w:shd w:val="clear" w:color="auto" w:fill="F3EFE6"/>
          </w:tcPr>
          <w:p>
            <w:pPr>
              <w:spacing w:after="0" w:before="0"/>
            </w:pPr>
            <w:r/>
            <w:r>
              <w:rPr>
                <w:b w:val="0"/>
                <w:i w:val="0"/>
                <w:color w:val="1A1A1A"/>
                <w:sz w:val="18"/>
              </w:rPr>
              <w:t>Ziel</w:t>
            </w:r>
          </w:p>
        </w:tc>
        <w:tc>
          <w:tcPr>
            <w:tcW w:type="dxa" w:w="3213"/>
            <w:shd w:val="clear" w:color="auto" w:fill="F3EFE6"/>
          </w:tcPr>
          <w:p>
            <w:pPr>
              <w:spacing w:after="0" w:before="0"/>
            </w:pPr>
            <w:r/>
            <w:r>
              <w:rPr>
                <w:b w:val="0"/>
                <w:i w:val="0"/>
                <w:color w:val="1A1A1A"/>
                <w:sz w:val="18"/>
              </w:rPr>
              <w:t>Ist es messbar, und wer ist verantwortlich?</w:t>
            </w:r>
          </w:p>
        </w:tc>
        <w:tc>
          <w:tcPr>
            <w:tcW w:type="dxa" w:w="3213"/>
            <w:shd w:val="clear" w:color="auto" w:fill="F3EFE6"/>
          </w:tcPr>
          <w:p>
            <w:pPr>
              <w:spacing w:after="0" w:before="0"/>
            </w:pPr>
            <w:r/>
            <w:r>
              <w:rPr>
                <w:b w:val="0"/>
                <w:i w:val="0"/>
                <w:color w:val="1A1A1A"/>
                <w:sz w:val="18"/>
              </w:rPr>
              <w:t>Zielblatt</w:t>
            </w:r>
          </w:p>
        </w:tc>
      </w:tr>
      <w:tr>
        <w:trPr>
          <w:cantSplit w:val="true"/>
        </w:trPr>
        <w:tc>
          <w:tcPr>
            <w:tcW w:type="dxa" w:w="3213"/>
          </w:tcPr>
          <w:p>
            <w:pPr>
              <w:spacing w:after="0" w:before="0"/>
            </w:pPr>
            <w:r/>
            <w:r>
              <w:rPr>
                <w:b w:val="0"/>
                <w:i w:val="0"/>
                <w:color w:val="1A1A1A"/>
                <w:sz w:val="18"/>
              </w:rPr>
              <w:t>Arbeitspapier</w:t>
            </w:r>
          </w:p>
        </w:tc>
        <w:tc>
          <w:tcPr>
            <w:tcW w:type="dxa" w:w="3213"/>
          </w:tcPr>
          <w:p>
            <w:pPr>
              <w:spacing w:after="0" w:before="0"/>
            </w:pPr>
            <w:r/>
            <w:r>
              <w:rPr>
                <w:b w:val="0"/>
                <w:i w:val="0"/>
                <w:color w:val="1A1A1A"/>
                <w:sz w:val="18"/>
              </w:rPr>
              <w:t>Steht die Maßnahme dort, wo gearbeitet wird?</w:t>
            </w:r>
          </w:p>
        </w:tc>
        <w:tc>
          <w:tcPr>
            <w:tcW w:type="dxa" w:w="3213"/>
          </w:tcPr>
          <w:p>
            <w:pPr>
              <w:spacing w:after="0" w:before="0"/>
            </w:pPr>
            <w:r/>
            <w:r>
              <w:rPr>
                <w:b w:val="0"/>
                <w:i w:val="0"/>
                <w:color w:val="1A1A1A"/>
                <w:sz w:val="18"/>
              </w:rPr>
              <w:t>Bankettformular, Produktionsplan</w:t>
            </w:r>
          </w:p>
        </w:tc>
      </w:tr>
      <w:tr>
        <w:trPr>
          <w:cantSplit w:val="true"/>
        </w:trPr>
        <w:tc>
          <w:tcPr>
            <w:tcW w:type="dxa" w:w="3213"/>
            <w:shd w:val="clear" w:color="auto" w:fill="F3EFE6"/>
          </w:tcPr>
          <w:p>
            <w:pPr>
              <w:spacing w:after="0" w:before="0"/>
            </w:pPr>
            <w:r/>
            <w:r>
              <w:rPr>
                <w:b w:val="0"/>
                <w:i w:val="0"/>
                <w:color w:val="1A1A1A"/>
                <w:sz w:val="18"/>
              </w:rPr>
              <w:t>Ort</w:t>
            </w:r>
          </w:p>
        </w:tc>
        <w:tc>
          <w:tcPr>
            <w:tcW w:type="dxa" w:w="3213"/>
            <w:shd w:val="clear" w:color="auto" w:fill="F3EFE6"/>
          </w:tcPr>
          <w:p>
            <w:pPr>
              <w:spacing w:after="0" w:before="0"/>
            </w:pPr>
            <w:r/>
            <w:r>
              <w:rPr>
                <w:b w:val="0"/>
                <w:i w:val="0"/>
                <w:color w:val="1A1A1A"/>
                <w:sz w:val="18"/>
              </w:rPr>
              <w:t>Geschieht es, und wissen die Menschen, warum?</w:t>
            </w:r>
          </w:p>
        </w:tc>
        <w:tc>
          <w:tcPr>
            <w:tcW w:type="dxa" w:w="3213"/>
            <w:shd w:val="clear" w:color="auto" w:fill="F3EFE6"/>
          </w:tcPr>
          <w:p>
            <w:pPr>
              <w:spacing w:after="0" w:before="0"/>
            </w:pPr>
            <w:r/>
            <w:r>
              <w:rPr>
                <w:b w:val="0"/>
                <w:i w:val="0"/>
                <w:color w:val="1A1A1A"/>
                <w:sz w:val="18"/>
              </w:rPr>
              <w:t>Beobachtung, Gespräch</w:t>
            </w:r>
          </w:p>
        </w:tc>
      </w:tr>
      <w:tr>
        <w:trPr>
          <w:cantSplit w:val="true"/>
        </w:trPr>
        <w:tc>
          <w:tcPr>
            <w:tcW w:type="dxa" w:w="3213"/>
          </w:tcPr>
          <w:p>
            <w:pPr>
              <w:spacing w:after="0" w:before="0"/>
            </w:pPr>
            <w:r/>
            <w:r>
              <w:rPr>
                <w:b w:val="0"/>
                <w:i w:val="0"/>
                <w:color w:val="1A1A1A"/>
                <w:sz w:val="18"/>
              </w:rPr>
              <w:t>Messung</w:t>
            </w:r>
          </w:p>
        </w:tc>
        <w:tc>
          <w:tcPr>
            <w:tcW w:type="dxa" w:w="3213"/>
          </w:tcPr>
          <w:p>
            <w:pPr>
              <w:spacing w:after="0" w:before="0"/>
            </w:pPr>
            <w:r/>
            <w:r>
              <w:rPr>
                <w:b w:val="0"/>
                <w:i w:val="0"/>
                <w:color w:val="1A1A1A"/>
                <w:sz w:val="18"/>
              </w:rPr>
              <w:t>Wie entsteht die Zahl, Zähler und Nenner?</w:t>
            </w:r>
          </w:p>
        </w:tc>
        <w:tc>
          <w:tcPr>
            <w:tcW w:type="dxa" w:w="3213"/>
          </w:tcPr>
          <w:p>
            <w:pPr>
              <w:spacing w:after="0" w:before="0"/>
            </w:pPr>
            <w:r/>
            <w:r>
              <w:rPr>
                <w:b w:val="0"/>
                <w:i w:val="0"/>
                <w:color w:val="1A1A1A"/>
                <w:sz w:val="18"/>
              </w:rPr>
              <w:t>Wiegeliste, Abendprotokoll, Nachrechnen</w:t>
            </w:r>
          </w:p>
        </w:tc>
      </w:tr>
      <w:tr>
        <w:trPr>
          <w:cantSplit w:val="true"/>
        </w:trPr>
        <w:tc>
          <w:tcPr>
            <w:tcW w:type="dxa" w:w="3213"/>
            <w:shd w:val="clear" w:color="auto" w:fill="F3EFE6"/>
          </w:tcPr>
          <w:p>
            <w:pPr>
              <w:spacing w:after="0" w:before="0"/>
            </w:pPr>
            <w:r/>
            <w:r>
              <w:rPr>
                <w:b w:val="0"/>
                <w:i w:val="0"/>
                <w:color w:val="1A1A1A"/>
                <w:sz w:val="18"/>
              </w:rPr>
              <w:t>Bewertung</w:t>
            </w:r>
          </w:p>
        </w:tc>
        <w:tc>
          <w:tcPr>
            <w:tcW w:type="dxa" w:w="3213"/>
            <w:shd w:val="clear" w:color="auto" w:fill="F3EFE6"/>
          </w:tcPr>
          <w:p>
            <w:pPr>
              <w:spacing w:after="0" w:before="0"/>
            </w:pPr>
            <w:r/>
            <w:r>
              <w:rPr>
                <w:b w:val="0"/>
                <w:i w:val="0"/>
                <w:color w:val="1A1A1A"/>
                <w:sz w:val="18"/>
              </w:rPr>
              <w:t>Was hat die Leitung aus der Zahl gemacht?</w:t>
            </w:r>
          </w:p>
        </w:tc>
        <w:tc>
          <w:tcPr>
            <w:tcW w:type="dxa" w:w="3213"/>
            <w:shd w:val="clear" w:color="auto" w:fill="F3EFE6"/>
          </w:tcPr>
          <w:p>
            <w:pPr>
              <w:spacing w:after="0" w:before="0"/>
            </w:pPr>
            <w:r/>
            <w:r>
              <w:rPr>
                <w:b w:val="0"/>
                <w:i w:val="0"/>
                <w:color w:val="1A1A1A"/>
                <w:sz w:val="18"/>
              </w:rPr>
              <w:t>Protokoll, Gespräch</w:t>
            </w:r>
          </w:p>
        </w:tc>
      </w:tr>
    </w:tbl>
    <w:p>
      <w:pPr>
        <w:spacing w:after="40"/>
      </w:pPr>
    </w:p>
    <w:p>
      <w:pPr>
        <w:pStyle w:val="Heading2"/>
      </w:pPr>
      <w:r>
        <w:t>Praktische Anwendung: die zweite Stufe in sieben Schritten vorbereiten</w:t>
      </w:r>
    </w:p>
    <w:p>
      <w:pPr>
        <w:tabs>
          <w:tab w:pos="340" w:val="left"/>
        </w:tabs>
        <w:ind w:left="340" w:hanging="340"/>
      </w:pPr>
      <w:r>
        <w:rPr>
          <w:b/>
          <w:color w:val="8C5A2B"/>
        </w:rPr>
        <w:t>1.</w:t>
        <w:tab/>
      </w:r>
      <w:r>
        <w:rPr>
          <w:b/>
        </w:rPr>
        <w:t>Selbst eine Spur gehen.</w:t>
      </w:r>
      <w:r>
        <w:t xml:space="preserve"> Wählen Sie ein Ziel und verfolgen Sie es vor dem Audit von der Politik bis an den Ort und zurück in die Managementbewertung. Wo Sie stocken, wird auch die Auditorin stocken.</w:t>
      </w:r>
    </w:p>
    <w:p>
      <w:pPr>
        <w:tabs>
          <w:tab w:pos="340" w:val="left"/>
        </w:tabs>
        <w:ind w:left="340" w:hanging="340"/>
      </w:pPr>
      <w:r>
        <w:rPr>
          <w:b/>
          <w:color w:val="8C5A2B"/>
        </w:rPr>
        <w:t>2.</w:t>
        <w:tab/>
      </w:r>
      <w:r>
        <w:rPr>
          <w:b/>
        </w:rPr>
        <w:t>Jede Kennzahl zerlegen.</w:t>
      </w:r>
      <w:r>
        <w:t xml:space="preserve"> Schreiben Sie für jede Zahl auf, woher Zähler und Nenner kommen und wer sie einträgt. Eine Zahl, deren Nenner niemand festgelegt hat, rechnet irgendetwas.</w:t>
      </w:r>
    </w:p>
    <w:p>
      <w:pPr>
        <w:tabs>
          <w:tab w:pos="340" w:val="left"/>
        </w:tabs>
        <w:ind w:left="340" w:hanging="340"/>
      </w:pPr>
      <w:r>
        <w:rPr>
          <w:b/>
          <w:color w:val="8C5A2B"/>
        </w:rPr>
        <w:t>3.</w:t>
        <w:tab/>
      </w:r>
      <w:r>
        <w:rPr>
          <w:b/>
        </w:rPr>
        <w:t>Die Papiere am Ort lassen.</w:t>
      </w:r>
      <w:r>
        <w:t xml:space="preserve"> Bankettformular, Produktionsplan, Wiegeliste und Abendprotokoll liegen dort, wo mit ihnen gearbeitet wird. Kopien für die Auditorin sind nicht nötig.</w:t>
      </w:r>
    </w:p>
    <w:p>
      <w:pPr>
        <w:tabs>
          <w:tab w:pos="340" w:val="left"/>
        </w:tabs>
        <w:ind w:left="340" w:hanging="340"/>
      </w:pPr>
      <w:r>
        <w:rPr>
          <w:b/>
          <w:color w:val="8C5A2B"/>
        </w:rPr>
        <w:t>4.</w:t>
        <w:tab/>
      </w:r>
      <w:r>
        <w:rPr>
          <w:b/>
        </w:rPr>
        <w:t>Alle Schichten unterrichten.</w:t>
      </w:r>
      <w:r>
        <w:t xml:space="preserve"> Auch Aushilfen und Kräfte von Agenturen wissen, dass jemand kommt und sie ansprechen kann. Eine Karte am Arbeitsplatz hilft mehr als eine Ansprache.</w:t>
      </w:r>
    </w:p>
    <w:p>
      <w:pPr>
        <w:tabs>
          <w:tab w:pos="340" w:val="left"/>
        </w:tabs>
        <w:ind w:left="340" w:hanging="340"/>
      </w:pPr>
      <w:r>
        <w:rPr>
          <w:b/>
          <w:color w:val="8C5A2B"/>
        </w:rPr>
        <w:t>5.</w:t>
        <w:tab/>
      </w:r>
      <w:r>
        <w:rPr>
          <w:b/>
        </w:rPr>
        <w:t>Die Erklärung kurz halten.</w:t>
      </w:r>
      <w:r>
        <w:t xml:space="preserve"> Planen Sie zwanzig Minuten mit der Leitung zu Politik, Zielen und Managementbewertung. Den Rest zeigt das Haus.</w:t>
      </w:r>
    </w:p>
    <w:p>
      <w:pPr>
        <w:tabs>
          <w:tab w:pos="340" w:val="left"/>
        </w:tabs>
        <w:ind w:left="340" w:hanging="340"/>
      </w:pPr>
      <w:r>
        <w:rPr>
          <w:b/>
          <w:color w:val="8C5A2B"/>
        </w:rPr>
        <w:t>6.</w:t>
        <w:tab/>
      </w:r>
      <w:r>
        <w:rPr>
          <w:b/>
        </w:rPr>
        <w:t>Niemandem die Antwort abnehmen.</w:t>
      </w:r>
      <w:r>
        <w:t xml:space="preserve"> Wer gefragt wird, antwortet selbst. Weiß er es nicht, ist auch das ein Nachweis.</w:t>
      </w:r>
    </w:p>
    <w:p>
      <w:pPr>
        <w:tabs>
          <w:tab w:pos="340" w:val="left"/>
        </w:tabs>
        <w:ind w:left="340" w:hanging="340"/>
      </w:pPr>
      <w:r>
        <w:rPr>
          <w:b/>
          <w:color w:val="8C5A2B"/>
        </w:rPr>
        <w:t>7.</w:t>
        <w:tab/>
      </w:r>
      <w:r>
        <w:rPr>
          <w:b/>
        </w:rPr>
        <w:t>Den Termin an das Geschäft binden.</w:t>
      </w:r>
      <w:r>
        <w:t xml:space="preserve"> Schlagen Sie Tage vor, an denen Bankette laufen. Eine zweite Stufe ohne Veranstaltung sieht nur die Hälfte (4.6).</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Selbst eine Spur gehen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Jede Kennzahl zerlegen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Die Papiere am Ort lassen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Alle Schichten unterrichten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Die Erklärung kurz halten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Niemandem die Antwort abnehmen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Den Termin an das Geschäft binden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ein Ziel selbst von der Politik bis an den Ort und zurück verfolgt?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für jede Kennzahl festgelegt, woher Zähler und Nenner kommen?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Stehen die Maßnahmen zu unseren Zielen in den Papieren, nach denen gearbeitet wird?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Wissen auch Aushilfen und Kräfte von Agenturen, wofür sie messen oder trennen?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das interne Audit nachgerechnet, wie eine Zahl entsteht, nicht nur ob sie eingetragen ist?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Beruhen die Entscheidungen der Managementbewertung auf Zahlen, deren Entstehung geprüft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Liegt der Termin der zweiten Stufe an Tagen mit Banketten?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Prüfen wir jede Aussage über ein Ziel nach außen, bevor sie veröffentlicht wird?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Stufe 2 für eine größere Stufe 1 halten.</w:t>
      </w:r>
      <w:r>
        <w:t xml:space="preserve"> Gefragt wird nicht, was geschrieben steht, sondern was geschieht.</w:t>
      </w:r>
    </w:p>
    <w:p>
      <w:pPr>
        <w:tabs>
          <w:tab w:pos="340" w:val="left"/>
        </w:tabs>
        <w:ind w:left="340" w:hanging="340"/>
      </w:pPr>
      <w:r>
        <w:rPr>
          <w:color w:val="8C5A2B"/>
        </w:rPr>
        <w:t>–</w:t>
        <w:tab/>
      </w:r>
      <w:r>
        <w:rPr>
          <w:b/>
        </w:rPr>
        <w:t>Das System erklären, statt es zu zeigen.</w:t>
      </w:r>
      <w:r>
        <w:t xml:space="preserve"> Jede Erklärung ist eine Aussage des Hauses über sich selbst.</w:t>
      </w:r>
    </w:p>
    <w:p>
      <w:pPr>
        <w:tabs>
          <w:tab w:pos="340" w:val="left"/>
        </w:tabs>
        <w:ind w:left="340" w:hanging="340"/>
      </w:pPr>
      <w:r>
        <w:rPr>
          <w:color w:val="8C5A2B"/>
        </w:rPr>
        <w:t>–</w:t>
        <w:tab/>
      </w:r>
      <w:r>
        <w:rPr>
          <w:b/>
        </w:rPr>
        <w:t>Für Mitarbeitende antworten.</w:t>
      </w:r>
      <w:r>
        <w:t xml:space="preserve"> Die Auditorin verliert den Nachweis, und das Haus gewinnt einen Verdacht.</w:t>
      </w:r>
    </w:p>
    <w:p>
      <w:pPr>
        <w:tabs>
          <w:tab w:pos="340" w:val="left"/>
        </w:tabs>
        <w:ind w:left="340" w:hanging="340"/>
      </w:pPr>
      <w:r>
        <w:rPr>
          <w:color w:val="8C5A2B"/>
        </w:rPr>
        <w:t>–</w:t>
        <w:tab/>
      </w:r>
      <w:r>
        <w:rPr>
          <w:b/>
        </w:rPr>
        <w:t>Nur den Zähler absichern.</w:t>
      </w:r>
      <w:r>
        <w:t xml:space="preserve"> Eine Kennzahl je Gedeck ist nur so richtig wie die Zahl der Gedecke.</w:t>
      </w:r>
    </w:p>
    <w:p>
      <w:pPr>
        <w:tabs>
          <w:tab w:pos="340" w:val="left"/>
        </w:tabs>
        <w:ind w:left="340" w:hanging="340"/>
      </w:pPr>
      <w:r>
        <w:rPr>
          <w:color w:val="8C5A2B"/>
        </w:rPr>
        <w:t>–</w:t>
        <w:tab/>
      </w:r>
      <w:r>
        <w:rPr>
          <w:b/>
        </w:rPr>
        <w:t>Vollständigkeit für Richtigkeit halten.</w:t>
      </w:r>
      <w:r>
        <w:t xml:space="preserve"> Eine Liste ohne Lücke kann in jeder Zeile falsch rechnen.</w:t>
      </w:r>
    </w:p>
    <w:p>
      <w:pPr>
        <w:tabs>
          <w:tab w:pos="340" w:val="left"/>
        </w:tabs>
        <w:ind w:left="340" w:hanging="340"/>
      </w:pPr>
      <w:r>
        <w:rPr>
          <w:color w:val="8C5A2B"/>
        </w:rPr>
        <w:t>–</w:t>
        <w:tab/>
      </w:r>
      <w:r>
        <w:rPr>
          <w:b/>
        </w:rPr>
        <w:t>Mit einem erreichten Ziel werben, bevor es geprüft ist.</w:t>
      </w:r>
      <w:r>
        <w:t xml:space="preserve"> Die Zahl nach außen ist dieselbe Zahl, die das Audit nachrechnet.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Stufe 2: zwei Audittage zu € 1.400</w:t>
            </w:r>
          </w:p>
        </w:tc>
        <w:tc>
          <w:tcPr>
            <w:tcW w:type="dxa" w:w="1474"/>
          </w:tcPr>
          <w:p>
            <w:pPr>
              <w:spacing w:after="0" w:before="0"/>
            </w:pPr>
            <w:r/>
            <w:r>
              <w:rPr>
                <w:b w:val="0"/>
                <w:i w:val="0"/>
                <w:color w:val="1A1A1A"/>
                <w:sz w:val="18"/>
              </w:rPr>
              <w:t>€ 2.800</w:t>
            </w:r>
          </w:p>
        </w:tc>
        <w:tc>
          <w:tcPr>
            <w:tcW w:type="dxa" w:w="3175"/>
          </w:tcPr>
          <w:p>
            <w:pPr>
              <w:spacing w:after="0" w:before="0"/>
            </w:pPr>
            <w:r/>
            <w:r>
              <w:rPr>
                <w:b w:val="0"/>
                <w:i w:val="0"/>
                <w:color w:val="1A1A1A"/>
                <w:sz w:val="18"/>
              </w:rPr>
              <w:t>Satz der Stelle im Fall</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Begleitung durch Bankettleitung und Küche</w:t>
            </w:r>
          </w:p>
        </w:tc>
        <w:tc>
          <w:tcPr>
            <w:tcW w:type="dxa" w:w="1474"/>
            <w:shd w:val="clear" w:color="auto" w:fill="F3EFE6"/>
          </w:tcPr>
          <w:p>
            <w:pPr>
              <w:spacing w:after="0" w:before="0"/>
            </w:pPr>
            <w:r/>
            <w:r>
              <w:rPr>
                <w:b w:val="0"/>
                <w:i w:val="0"/>
                <w:color w:val="1A1A1A"/>
                <w:sz w:val="18"/>
              </w:rPr>
              <w:t>10 Stunden</w:t>
            </w:r>
          </w:p>
        </w:tc>
        <w:tc>
          <w:tcPr>
            <w:tcW w:type="dxa" w:w="3175"/>
            <w:shd w:val="clear" w:color="auto" w:fill="F3EFE6"/>
          </w:tcPr>
          <w:p>
            <w:pPr>
              <w:spacing w:after="0" w:before="0"/>
            </w:pPr>
            <w:r/>
            <w:r>
              <w:rPr>
                <w:b w:val="0"/>
                <w:i w:val="0"/>
                <w:color w:val="1A1A1A"/>
                <w:sz w:val="18"/>
              </w:rPr>
              <w:t>an beiden Audittagen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Nachrechnen der 140 Bankette mit servierten Gedecken: 140 × 6 Minuten</w:t>
            </w:r>
          </w:p>
        </w:tc>
        <w:tc>
          <w:tcPr>
            <w:tcW w:type="dxa" w:w="1474"/>
          </w:tcPr>
          <w:p>
            <w:pPr>
              <w:spacing w:after="0" w:before="0"/>
            </w:pPr>
            <w:r/>
            <w:r>
              <w:rPr>
                <w:b w:val="0"/>
                <w:i w:val="0"/>
                <w:color w:val="1A1A1A"/>
                <w:sz w:val="18"/>
              </w:rPr>
              <w:t>14 Stunden</w:t>
            </w:r>
          </w:p>
        </w:tc>
        <w:tc>
          <w:tcPr>
            <w:tcW w:type="dxa" w:w="3175"/>
          </w:tcPr>
          <w:p>
            <w:pPr>
              <w:spacing w:after="0" w:before="0"/>
            </w:pPr>
            <w:r/>
            <w:r>
              <w:rPr>
                <w:b w:val="0"/>
                <w:i w:val="0"/>
                <w:color w:val="1A1A1A"/>
                <w:sz w:val="18"/>
              </w:rPr>
              <w:t>einmalig, Bankettleitung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Spalte «serviert» in Wiegeliste und Monatsblatt</w:t>
            </w:r>
          </w:p>
        </w:tc>
        <w:tc>
          <w:tcPr>
            <w:tcW w:type="dxa" w:w="1474"/>
            <w:shd w:val="clear" w:color="auto" w:fill="F3EFE6"/>
          </w:tcPr>
          <w:p>
            <w:pPr>
              <w:spacing w:after="0" w:before="0"/>
            </w:pPr>
            <w:r/>
            <w:r>
              <w:rPr>
                <w:b w:val="0"/>
                <w:i w:val="0"/>
                <w:color w:val="1A1A1A"/>
                <w:sz w:val="18"/>
              </w:rPr>
              <w:t>2 Stunden</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Speisereste, die die Kennzahl verbarg: 14 g × 42.000 Gedecke</w:t>
            </w:r>
          </w:p>
        </w:tc>
        <w:tc>
          <w:tcPr>
            <w:tcW w:type="dxa" w:w="1474"/>
          </w:tcPr>
          <w:p>
            <w:pPr>
              <w:spacing w:after="0" w:before="0"/>
            </w:pPr>
            <w:r/>
            <w:r>
              <w:rPr>
                <w:b w:val="0"/>
                <w:i w:val="0"/>
                <w:color w:val="1A1A1A"/>
                <w:sz w:val="18"/>
              </w:rPr>
              <w:t>588 kg</w:t>
            </w:r>
          </w:p>
        </w:tc>
        <w:tc>
          <w:tcPr>
            <w:tcW w:type="dxa" w:w="3175"/>
          </w:tcPr>
          <w:p>
            <w:pPr>
              <w:spacing w:after="0" w:before="0"/>
            </w:pPr>
            <w:r/>
            <w:r>
              <w:rPr>
                <w:b w:val="0"/>
                <w:i w:val="0"/>
                <w:color w:val="1A1A1A"/>
                <w:sz w:val="18"/>
              </w:rPr>
              <w:t>140 Bankette mit rund 300 Gedecken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Wareneinsatz dieser Menge zu € 6 je kg</w:t>
            </w:r>
          </w:p>
        </w:tc>
        <w:tc>
          <w:tcPr>
            <w:tcW w:type="dxa" w:w="1474"/>
            <w:shd w:val="clear" w:color="auto" w:fill="F3EFE6"/>
          </w:tcPr>
          <w:p>
            <w:pPr>
              <w:spacing w:after="0" w:before="0"/>
            </w:pPr>
            <w:r/>
            <w:r>
              <w:rPr>
                <w:b w:val="0"/>
                <w:i w:val="0"/>
                <w:color w:val="1A1A1A"/>
                <w:sz w:val="18"/>
              </w:rPr>
              <w:t>€ 3.528</w:t>
            </w:r>
          </w:p>
        </w:tc>
        <w:tc>
          <w:tcPr>
            <w:tcW w:type="dxa" w:w="3175"/>
            <w:shd w:val="clear" w:color="auto" w:fill="F3EFE6"/>
          </w:tcPr>
          <w:p>
            <w:pPr>
              <w:spacing w:after="0" w:before="0"/>
            </w:pPr>
            <w:r/>
            <w:r>
              <w:rPr>
                <w:b w:val="0"/>
                <w:i w:val="0"/>
                <w:color w:val="1A1A1A"/>
                <w:sz w:val="18"/>
              </w:rPr>
              <w:t>im Jahr; Annahme</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hält Stunden, Kilogramm und Euro auseinander. Der Wareneinsatz von gut 3.500 Euro ist kein Verlust in dieser Höhe, denn ein Teil der Reste wäre auch mit besserer Planung entstanden. Er zeigt nur, dass hinter vierzehn Gramm je Gedeck bei zweiundvierzigtausend Gedecken mehr als eine halbe Tonne Essen steht. Die zwei Audittage kosten weniger, als eine falsche Zahl ein Jahr lang kostet.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Stufe 2 mit eigenen Zielen, nach mitgeteilten Schlussfolgerungen der Stufe 1 (ISO/IEC 17021-1, 9.3.1.2.3, 9.3.1.3)</w:t>
            </w:r>
          </w:p>
        </w:tc>
        <w:tc>
          <w:tcPr>
            <w:tcW w:type="dxa" w:w="3175"/>
          </w:tcPr>
          <w:p>
            <w:pPr>
              <w:spacing w:after="0" w:before="0"/>
            </w:pPr>
            <w:r/>
            <w:r>
              <w:rPr>
                <w:b w:val="0"/>
                <w:i w:val="0"/>
                <w:color w:val="1A1A1A"/>
                <w:sz w:val="18"/>
              </w:rPr>
              <w:t>Bericht der Stufe 1 vom Juli; Termin in einer Messewoche</w:t>
            </w:r>
          </w:p>
        </w:tc>
        <w:tc>
          <w:tcPr>
            <w:tcW w:type="dxa" w:w="3175"/>
          </w:tcPr>
          <w:p>
            <w:pPr>
              <w:spacing w:after="0" w:before="0"/>
            </w:pPr>
            <w:r/>
            <w:r>
              <w:rPr>
                <w:b w:val="0"/>
                <w:i w:val="0"/>
                <w:color w:val="1A1A1A"/>
                <w:sz w:val="18"/>
              </w:rPr>
              <w:t>Methode: Stufe 2 an Tagen mit Bankett</w:t>
            </w:r>
          </w:p>
        </w:tc>
      </w:tr>
      <w:tr>
        <w:trPr>
          <w:cantSplit w:val="true"/>
        </w:trPr>
        <w:tc>
          <w:tcPr>
            <w:tcW w:type="dxa" w:w="3288"/>
            <w:shd w:val="clear" w:color="auto" w:fill="F3EFE6"/>
          </w:tcPr>
          <w:p>
            <w:pPr>
              <w:spacing w:after="0" w:before="0"/>
            </w:pPr>
            <w:r/>
            <w:r>
              <w:rPr>
                <w:b w:val="0"/>
                <w:i w:val="0"/>
                <w:color w:val="1A1A1A"/>
                <w:sz w:val="18"/>
              </w:rPr>
              <w:t>Politik dokumentiert, mitgeteilt, datiert, unterzeichnet (ISO 20121, 5.2)</w:t>
            </w:r>
          </w:p>
        </w:tc>
        <w:tc>
          <w:tcPr>
            <w:tcW w:type="dxa" w:w="3175"/>
            <w:shd w:val="clear" w:color="auto" w:fill="F3EFE6"/>
          </w:tcPr>
          <w:p>
            <w:pPr>
              <w:spacing w:after="0" w:before="0"/>
            </w:pPr>
            <w:r/>
            <w:r>
              <w:rPr>
                <w:b w:val="0"/>
                <w:i w:val="0"/>
                <w:color w:val="1A1A1A"/>
                <w:sz w:val="18"/>
              </w:rPr>
              <w:t>Politik vom Januar; Aushang in der Spülküche</w:t>
            </w:r>
          </w:p>
        </w:tc>
        <w:tc>
          <w:tcPr>
            <w:tcW w:type="dxa" w:w="3175"/>
            <w:shd w:val="clear" w:color="auto" w:fill="F3EFE6"/>
          </w:tcPr>
          <w:p>
            <w:pPr>
              <w:spacing w:after="0" w:before="0"/>
            </w:pPr>
            <w:r/>
            <w:r>
              <w:rPr>
                <w:b w:val="0"/>
                <w:i w:val="0"/>
                <w:color w:val="1A1A1A"/>
                <w:sz w:val="18"/>
              </w:rPr>
              <w:t>Methode: Politik dort, wo gearbeitet wird</w:t>
            </w:r>
          </w:p>
        </w:tc>
      </w:tr>
      <w:tr>
        <w:trPr>
          <w:cantSplit w:val="true"/>
        </w:trPr>
        <w:tc>
          <w:tcPr>
            <w:tcW w:type="dxa" w:w="3288"/>
          </w:tcPr>
          <w:p>
            <w:pPr>
              <w:spacing w:after="0" w:before="0"/>
            </w:pPr>
            <w:r/>
            <w:r>
              <w:rPr>
                <w:b w:val="0"/>
                <w:i w:val="0"/>
                <w:color w:val="1A1A1A"/>
                <w:sz w:val="18"/>
              </w:rPr>
              <w:t>Ziele messbar, überwacht, mit Verantwortung und Bewertung (6.2)</w:t>
            </w:r>
          </w:p>
        </w:tc>
        <w:tc>
          <w:tcPr>
            <w:tcW w:type="dxa" w:w="3175"/>
          </w:tcPr>
          <w:p>
            <w:pPr>
              <w:spacing w:after="0" w:before="0"/>
            </w:pPr>
            <w:r/>
            <w:r>
              <w:rPr>
                <w:b w:val="0"/>
                <w:i w:val="0"/>
                <w:color w:val="1A1A1A"/>
                <w:sz w:val="18"/>
              </w:rPr>
              <w:t>Zielblatt; Monatsblatt</w:t>
            </w:r>
          </w:p>
        </w:tc>
        <w:tc>
          <w:tcPr>
            <w:tcW w:type="dxa" w:w="3175"/>
          </w:tcPr>
          <w:p>
            <w:pPr>
              <w:spacing w:after="0" w:before="0"/>
            </w:pPr>
            <w:r/>
            <w:r>
              <w:rPr>
                <w:b w:val="0"/>
                <w:i w:val="0"/>
                <w:color w:val="1A1A1A"/>
                <w:sz w:val="18"/>
              </w:rPr>
              <w:t>A.20: Basiswerte; Überwachung nicht belastend</w:t>
            </w:r>
          </w:p>
        </w:tc>
      </w:tr>
      <w:tr>
        <w:trPr>
          <w:cantSplit w:val="true"/>
        </w:trPr>
        <w:tc>
          <w:tcPr>
            <w:tcW w:type="dxa" w:w="3288"/>
            <w:shd w:val="clear" w:color="auto" w:fill="F3EFE6"/>
          </w:tcPr>
          <w:p>
            <w:pPr>
              <w:spacing w:after="0" w:before="0"/>
            </w:pPr>
            <w:r/>
            <w:r>
              <w:rPr>
                <w:b w:val="0"/>
                <w:i w:val="0"/>
                <w:color w:val="1A1A1A"/>
                <w:sz w:val="18"/>
              </w:rPr>
              <w:t>Methoden der Messung bestimmen; Leistung und Wirksamkeit bewerten (9.1)</w:t>
            </w:r>
          </w:p>
        </w:tc>
        <w:tc>
          <w:tcPr>
            <w:tcW w:type="dxa" w:w="3175"/>
            <w:shd w:val="clear" w:color="auto" w:fill="F3EFE6"/>
          </w:tcPr>
          <w:p>
            <w:pPr>
              <w:spacing w:after="0" w:before="0"/>
            </w:pPr>
            <w:r/>
            <w:r>
              <w:rPr>
                <w:b w:val="0"/>
                <w:i w:val="0"/>
                <w:color w:val="1A1A1A"/>
                <w:sz w:val="18"/>
              </w:rPr>
              <w:t>Wiegeliste; Abendprotokoll des Oberkellners</w:t>
            </w:r>
          </w:p>
        </w:tc>
        <w:tc>
          <w:tcPr>
            <w:tcW w:type="dxa" w:w="3175"/>
            <w:shd w:val="clear" w:color="auto" w:fill="F3EFE6"/>
          </w:tcPr>
          <w:p>
            <w:pPr>
              <w:spacing w:after="0" w:before="0"/>
            </w:pPr>
            <w:r/>
            <w:r>
              <w:rPr>
                <w:b w:val="0"/>
                <w:i w:val="0"/>
                <w:color w:val="1A1A1A"/>
                <w:sz w:val="18"/>
              </w:rPr>
              <w:t>Methode: Zähler und Nenner jeder Kennzahl festlegen</w:t>
            </w:r>
          </w:p>
        </w:tc>
      </w:tr>
      <w:tr>
        <w:trPr>
          <w:cantSplit w:val="true"/>
        </w:trPr>
        <w:tc>
          <w:tcPr>
            <w:tcW w:type="dxa" w:w="3288"/>
          </w:tcPr>
          <w:p>
            <w:pPr>
              <w:spacing w:after="0" w:before="0"/>
            </w:pPr>
            <w:r/>
            <w:r>
              <w:rPr>
                <w:b w:val="0"/>
                <w:i w:val="0"/>
                <w:color w:val="1A1A1A"/>
                <w:sz w:val="18"/>
              </w:rPr>
              <w:t>Bewusstsein für Politik, Beitrag und Folgen (7.3)</w:t>
            </w:r>
          </w:p>
        </w:tc>
        <w:tc>
          <w:tcPr>
            <w:tcW w:type="dxa" w:w="3175"/>
          </w:tcPr>
          <w:p>
            <w:pPr>
              <w:spacing w:after="0" w:before="0"/>
            </w:pPr>
            <w:r/>
            <w:r>
              <w:rPr>
                <w:b w:val="0"/>
                <w:i w:val="0"/>
                <w:color w:val="1A1A1A"/>
                <w:sz w:val="18"/>
              </w:rPr>
              <w:t>Gespräch mit der Aushilfe; Karte an der Waage</w:t>
            </w:r>
          </w:p>
        </w:tc>
        <w:tc>
          <w:tcPr>
            <w:tcW w:type="dxa" w:w="3175"/>
          </w:tcPr>
          <w:p>
            <w:pPr>
              <w:spacing w:after="0" w:before="0"/>
            </w:pPr>
            <w:r/>
            <w:r>
              <w:rPr>
                <w:b w:val="0"/>
                <w:i w:val="0"/>
                <w:color w:val="1A1A1A"/>
                <w:sz w:val="18"/>
              </w:rPr>
              <w:t>Tabelle A.1: Personal von Dienstleistern als Belegschaft</w:t>
            </w:r>
          </w:p>
        </w:tc>
      </w:tr>
      <w:tr>
        <w:trPr>
          <w:cantSplit w:val="true"/>
        </w:trPr>
        <w:tc>
          <w:tcPr>
            <w:tcW w:type="dxa" w:w="3288"/>
            <w:shd w:val="clear" w:color="auto" w:fill="F3EFE6"/>
          </w:tcPr>
          <w:p>
            <w:pPr>
              <w:spacing w:after="0" w:before="0"/>
            </w:pPr>
            <w:r/>
            <w:r>
              <w:rPr>
                <w:b w:val="0"/>
                <w:i w:val="0"/>
                <w:color w:val="1A1A1A"/>
                <w:sz w:val="18"/>
              </w:rPr>
              <w:t>Managementbewertung mit Entscheidungen (9.3.3)</w:t>
            </w:r>
          </w:p>
        </w:tc>
        <w:tc>
          <w:tcPr>
            <w:tcW w:type="dxa" w:w="3175"/>
            <w:shd w:val="clear" w:color="auto" w:fill="F3EFE6"/>
          </w:tcPr>
          <w:p>
            <w:pPr>
              <w:spacing w:after="0" w:before="0"/>
            </w:pPr>
            <w:r/>
            <w:r>
              <w:rPr>
                <w:b w:val="0"/>
                <w:i w:val="0"/>
                <w:color w:val="1A1A1A"/>
                <w:sz w:val="18"/>
              </w:rPr>
              <w:t>Protokoll vom Januar</w:t>
            </w:r>
          </w:p>
        </w:tc>
        <w:tc>
          <w:tcPr>
            <w:tcW w:type="dxa" w:w="3175"/>
            <w:shd w:val="clear" w:color="auto" w:fill="F3EFE6"/>
          </w:tcPr>
          <w:p>
            <w:pPr>
              <w:spacing w:after="0" w:before="0"/>
            </w:pPr>
            <w:r/>
            <w:r>
              <w:rPr>
                <w:b w:val="0"/>
                <w:i w:val="0"/>
                <w:color w:val="1A1A1A"/>
                <w:sz w:val="18"/>
              </w:rPr>
              <w:t>ISO 19011:2026: faktengestützter Ansatz als Grundsatz</w:t>
            </w:r>
          </w:p>
        </w:tc>
      </w:tr>
    </w:tbl>
    <w:p>
      <w:pPr>
        <w:spacing w:after="40"/>
      </w:pPr>
    </w:p>
    <w:p>
      <w:pPr>
        <w:pStyle w:val="Heading2"/>
      </w:pPr>
      <w:r>
        <w:t>DACH-Anker: Recht an der Spur</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Akkreditierung für ISO 20121</w:t>
            </w:r>
          </w:p>
        </w:tc>
        <w:tc>
          <w:tcPr>
            <w:tcW w:type="dxa" w:w="2721"/>
          </w:tcPr>
          <w:p>
            <w:pPr>
              <w:spacing w:after="0" w:before="0"/>
            </w:pPr>
            <w:r/>
            <w:r>
              <w:rPr>
                <w:b w:val="0"/>
                <w:i w:val="0"/>
                <w:color w:val="1A1A1A"/>
                <w:sz w:val="17"/>
              </w:rPr>
              <w:t>Programm für DIN ISO 20121 bei der DAkkS laut Branchenmeldung vom Juli 2026 beantragt; Entscheidung im September 2026 ausstehend</w:t>
            </w:r>
          </w:p>
        </w:tc>
        <w:tc>
          <w:tcPr>
            <w:tcW w:type="dxa" w:w="2721"/>
          </w:tcPr>
          <w:p>
            <w:pPr>
              <w:spacing w:after="0" w:before="0"/>
            </w:pPr>
            <w:r/>
            <w:r>
              <w:rPr>
                <w:b w:val="0"/>
                <w:i w:val="0"/>
                <w:color w:val="1A1A1A"/>
                <w:sz w:val="17"/>
              </w:rPr>
              <w:t>Akkreditierung Austria; Geltungsbereich der Stelle im Einzelfall erfragen</w:t>
            </w:r>
          </w:p>
        </w:tc>
        <w:tc>
          <w:tcPr>
            <w:tcW w:type="dxa" w:w="2721"/>
          </w:tcPr>
          <w:p>
            <w:pPr>
              <w:spacing w:after="0" w:before="0"/>
            </w:pPr>
            <w:r/>
            <w:r>
              <w:rPr>
                <w:b w:val="0"/>
                <w:i w:val="0"/>
                <w:color w:val="1A1A1A"/>
                <w:sz w:val="17"/>
              </w:rPr>
              <w:t>SAS; Geltungsbereich im Einzelfall erfragen</w:t>
            </w:r>
          </w:p>
        </w:tc>
      </w:tr>
      <w:tr>
        <w:trPr>
          <w:cantSplit w:val="true"/>
        </w:trPr>
        <w:tc>
          <w:tcPr>
            <w:tcW w:type="dxa" w:w="1474"/>
            <w:shd w:val="clear" w:color="auto" w:fill="F3EFE6"/>
          </w:tcPr>
          <w:p>
            <w:pPr>
              <w:spacing w:after="0" w:before="0"/>
            </w:pPr>
            <w:r/>
            <w:r>
              <w:rPr>
                <w:b w:val="0"/>
                <w:i w:val="0"/>
                <w:color w:val="1A1A1A"/>
                <w:sz w:val="17"/>
              </w:rPr>
              <w:t>Einweisung überlassener Kräfte</w:t>
            </w:r>
          </w:p>
        </w:tc>
        <w:tc>
          <w:tcPr>
            <w:tcW w:type="dxa" w:w="2721"/>
            <w:shd w:val="clear" w:color="auto" w:fill="F3EFE6"/>
          </w:tcPr>
          <w:p>
            <w:pPr>
              <w:spacing w:after="0" w:before="0"/>
            </w:pPr>
            <w:r/>
            <w:r>
              <w:rPr>
                <w:b w:val="0"/>
                <w:i w:val="0"/>
                <w:color w:val="1A1A1A"/>
                <w:sz w:val="17"/>
              </w:rPr>
              <w:t>Unterweisung vor Aufnahme der Tätigkeit; bei Überlassung durch den Entleiher (§ 12 ArbSchG; Band 8a, 2.12)</w:t>
            </w:r>
          </w:p>
        </w:tc>
        <w:tc>
          <w:tcPr>
            <w:tcW w:type="dxa" w:w="2721"/>
            <w:shd w:val="clear" w:color="auto" w:fill="F3EFE6"/>
          </w:tcPr>
          <w:p>
            <w:pPr>
              <w:spacing w:after="0" w:before="0"/>
            </w:pPr>
            <w:r/>
            <w:r>
              <w:rPr>
                <w:b w:val="0"/>
                <w:i w:val="0"/>
                <w:color w:val="1A1A1A"/>
                <w:sz w:val="17"/>
              </w:rPr>
              <w:t>Unterweisung nachweislich, in verständlicher Sprache (§ 14 ASchG; Band 8a, 2.12)</w:t>
            </w:r>
          </w:p>
        </w:tc>
        <w:tc>
          <w:tcPr>
            <w:tcW w:type="dxa" w:w="2721"/>
            <w:shd w:val="clear" w:color="auto" w:fill="F3EFE6"/>
          </w:tcPr>
          <w:p>
            <w:pPr>
              <w:spacing w:after="0" w:before="0"/>
            </w:pPr>
            <w:r/>
            <w:r>
              <w:rPr>
                <w:b w:val="0"/>
                <w:i w:val="0"/>
                <w:color w:val="1A1A1A"/>
                <w:sz w:val="17"/>
              </w:rPr>
              <w:t>Information und Anleitung auch für Arbeitnehmer anderer Betriebe (VUV; Band 8a, 2.12)</w:t>
            </w:r>
          </w:p>
        </w:tc>
      </w:tr>
      <w:tr>
        <w:trPr>
          <w:cantSplit w:val="true"/>
        </w:trPr>
        <w:tc>
          <w:tcPr>
            <w:tcW w:type="dxa" w:w="1474"/>
          </w:tcPr>
          <w:p>
            <w:pPr>
              <w:spacing w:after="0" w:before="0"/>
            </w:pPr>
            <w:r/>
            <w:r>
              <w:rPr>
                <w:b w:val="0"/>
                <w:i w:val="0"/>
                <w:color w:val="1A1A1A"/>
                <w:sz w:val="17"/>
              </w:rPr>
              <w:t>Notizen über Gespräche</w:t>
            </w:r>
          </w:p>
        </w:tc>
        <w:tc>
          <w:tcPr>
            <w:tcW w:type="dxa" w:w="2721"/>
          </w:tcPr>
          <w:p>
            <w:pPr>
              <w:spacing w:after="0" w:before="0"/>
            </w:pPr>
            <w:r/>
            <w:r>
              <w:rPr>
                <w:b w:val="0"/>
                <w:i w:val="0"/>
                <w:color w:val="1A1A1A"/>
                <w:sz w:val="17"/>
              </w:rPr>
              <w:t>DSGVO, soweit Personen erkennbar</w:t>
            </w:r>
          </w:p>
        </w:tc>
        <w:tc>
          <w:tcPr>
            <w:tcW w:type="dxa" w:w="2721"/>
          </w:tcPr>
          <w:p>
            <w:pPr>
              <w:spacing w:after="0" w:before="0"/>
            </w:pPr>
            <w:r/>
            <w:r>
              <w:rPr>
                <w:b w:val="0"/>
                <w:i w:val="0"/>
                <w:color w:val="1A1A1A"/>
                <w:sz w:val="17"/>
              </w:rPr>
              <w:t>DSGVO, soweit Personen erkennbar</w:t>
            </w:r>
          </w:p>
        </w:tc>
        <w:tc>
          <w:tcPr>
            <w:tcW w:type="dxa" w:w="2721"/>
          </w:tcPr>
          <w:p>
            <w:pPr>
              <w:spacing w:after="0" w:before="0"/>
            </w:pPr>
            <w:r/>
            <w:r>
              <w:rPr>
                <w:b w:val="0"/>
                <w:i w:val="0"/>
                <w:color w:val="1A1A1A"/>
                <w:sz w:val="17"/>
              </w:rPr>
              <w:t>Datenschutzgesetz des Bundes</w:t>
            </w:r>
          </w:p>
        </w:tc>
      </w:tr>
      <w:tr>
        <w:trPr>
          <w:cantSplit w:val="true"/>
        </w:trPr>
        <w:tc>
          <w:tcPr>
            <w:tcW w:type="dxa" w:w="1474"/>
            <w:shd w:val="clear" w:color="auto" w:fill="F3EFE6"/>
          </w:tcPr>
          <w:p>
            <w:pPr>
              <w:spacing w:after="0" w:before="0"/>
            </w:pPr>
            <w:r/>
            <w:r>
              <w:rPr>
                <w:b w:val="0"/>
                <w:i w:val="0"/>
                <w:color w:val="1A1A1A"/>
                <w:sz w:val="17"/>
              </w:rPr>
              <w:t>Speisereste als Abfall</w:t>
            </w:r>
          </w:p>
        </w:tc>
        <w:tc>
          <w:tcPr>
            <w:tcW w:type="dxa" w:w="2721"/>
            <w:shd w:val="clear" w:color="auto" w:fill="F3EFE6"/>
          </w:tcPr>
          <w:p>
            <w:pPr>
              <w:spacing w:after="0" w:before="0"/>
            </w:pPr>
            <w:r/>
            <w:r>
              <w:rPr>
                <w:b w:val="0"/>
                <w:i w:val="0"/>
                <w:color w:val="1A1A1A"/>
                <w:sz w:val="17"/>
              </w:rPr>
              <w:t>Bioabfälle getrennt sammeln; Nachweis u. a. durch Wiegebelege (§ 3 GewAbfV)</w:t>
            </w:r>
          </w:p>
        </w:tc>
        <w:tc>
          <w:tcPr>
            <w:tcW w:type="dxa" w:w="2721"/>
            <w:shd w:val="clear" w:color="auto" w:fill="F3EFE6"/>
          </w:tcPr>
          <w:p>
            <w:pPr>
              <w:spacing w:after="0" w:before="0"/>
            </w:pPr>
            <w:r/>
            <w:r>
              <w:rPr>
                <w:b w:val="0"/>
                <w:i w:val="0"/>
                <w:color w:val="1A1A1A"/>
                <w:sz w:val="17"/>
              </w:rPr>
              <w:t>Verordnung über biogene Abfälle; Vorgaben von Gemeinde und Abfallverband</w:t>
            </w:r>
          </w:p>
        </w:tc>
        <w:tc>
          <w:tcPr>
            <w:tcW w:type="dxa" w:w="2721"/>
            <w:shd w:val="clear" w:color="auto" w:fill="F3EFE6"/>
          </w:tcPr>
          <w:p>
            <w:pPr>
              <w:spacing w:after="0" w:before="0"/>
            </w:pPr>
            <w:r/>
            <w:r>
              <w:rPr>
                <w:b w:val="0"/>
                <w:i w:val="0"/>
                <w:color w:val="1A1A1A"/>
                <w:sz w:val="17"/>
              </w:rPr>
              <w:t>kantonales und kommunales Abfallrecht</w:t>
            </w:r>
          </w:p>
        </w:tc>
      </w:tr>
      <w:tr>
        <w:trPr>
          <w:cantSplit w:val="true"/>
        </w:trPr>
        <w:tc>
          <w:tcPr>
            <w:tcW w:type="dxa" w:w="1474"/>
          </w:tcPr>
          <w:p>
            <w:pPr>
              <w:spacing w:after="0" w:before="0"/>
            </w:pPr>
            <w:r/>
            <w:r>
              <w:rPr>
                <w:b w:val="0"/>
                <w:i w:val="0"/>
                <w:color w:val="1A1A1A"/>
                <w:sz w:val="17"/>
              </w:rPr>
              <w:t>Aussagen über das Ziel nach außen</w:t>
            </w:r>
          </w:p>
        </w:tc>
        <w:tc>
          <w:tcPr>
            <w:tcW w:type="dxa" w:w="2721"/>
          </w:tcPr>
          <w:p>
            <w:pPr>
              <w:spacing w:after="0" w:before="0"/>
            </w:pPr>
            <w:r/>
            <w:r>
              <w:rPr>
                <w:b w:val="0"/>
                <w:i w:val="0"/>
                <w:color w:val="1A1A1A"/>
                <w:sz w:val="17"/>
              </w:rPr>
              <w:t>gegenüber Verbrauchern künftige Umweltleistung nur mit Umsetzungsplan und unabhängiger externer Überprüfung (§ 5 Abs. 3 Nr. 4 UWG)</w:t>
            </w:r>
          </w:p>
        </w:tc>
        <w:tc>
          <w:tcPr>
            <w:tcW w:type="dxa" w:w="2721"/>
          </w:tcPr>
          <w:p>
            <w:pPr>
              <w:spacing w:after="0" w:before="0"/>
            </w:pPr>
            <w:r/>
            <w:r>
              <w:rPr>
                <w:b w:val="0"/>
                <w:i w:val="0"/>
                <w:color w:val="1A1A1A"/>
                <w:sz w:val="17"/>
              </w:rPr>
              <w:t>gleiche Regel aus derselben Richtlinie (UWG-Novelle BGBl. I Nr. 58/2026)</w:t>
            </w:r>
          </w:p>
        </w:tc>
        <w:tc>
          <w:tcPr>
            <w:tcW w:type="dxa" w:w="2721"/>
          </w:tcPr>
          <w:p>
            <w:pPr>
              <w:spacing w:after="0" w:before="0"/>
            </w:pPr>
            <w:r/>
            <w:r>
              <w:rPr>
                <w:b w:val="0"/>
                <w:i w:val="0"/>
                <w:color w:val="1A1A1A"/>
                <w:sz w:val="17"/>
              </w:rPr>
              <w:t>UWG Art. 3 Abs. 1 lit. b; lit. x für Klimaaussagen</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4.5.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4.5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4.5 — Die zweite Stufe vorbereiten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