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4.7</w:t>
      </w:r>
    </w:p>
    <w:p>
      <w:pPr>
        <w:pStyle w:val="Heading1"/>
      </w:pPr>
      <w:r>
        <w:t>Feststellungen im Abschlussgespräch behandeln</w:t>
      </w:r>
    </w:p>
    <w:p>
      <w:pPr>
        <w:spacing w:after="0"/>
      </w:pPr>
      <w:r>
        <w:rPr>
          <w:b w:val="0"/>
          <w:i/>
          <w:color w:val="5A5A5A"/>
        </w:rPr>
        <w:t>Abschnitt 4.7 · Nichtkonformitäten in der Zertifizierung: schwer und geringfügig</w:t>
      </w:r>
    </w:p>
    <w:p>
      <w:pPr>
        <w:spacing w:after="160"/>
      </w:pPr>
      <w:r>
        <w:rPr>
          <w:b w:val="0"/>
          <w:i w:val="0"/>
          <w:color w:val="5A5A5A"/>
          <w:sz w:val="18"/>
        </w:rPr>
        <w:t>Modellfall im Buch: Nürnberg</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Wenn der Auditor im Abschlussgespräch drei Feststellungen auf den Tisch legt: Welche halten Sie für die schwerste, und woran messen Sie das? Und was legen Sie vor, wenn Sie einer Einstufung widersprechen wollen?</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Drei Fragen an eine Lücke (Methode dieses Buches)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Frage</w:t>
            </w:r>
          </w:p>
        </w:tc>
        <w:tc>
          <w:tcPr>
            <w:tcW w:type="dxa" w:w="3213"/>
            <w:shd w:val="clear" w:color="auto" w:fill="8C5A2B"/>
          </w:tcPr>
          <w:p>
            <w:pPr>
              <w:spacing w:after="0" w:before="0"/>
            </w:pPr>
            <w:r/>
            <w:r>
              <w:rPr>
                <w:b/>
                <w:i w:val="0"/>
                <w:color w:val="FFFFFF"/>
                <w:sz w:val="18"/>
              </w:rPr>
              <w:t>Mengenkorrektur, 3 von 24 Formularen</w:t>
            </w:r>
          </w:p>
        </w:tc>
        <w:tc>
          <w:tcPr>
            <w:tcW w:type="dxa" w:w="3213"/>
            <w:shd w:val="clear" w:color="auto" w:fill="8C5A2B"/>
          </w:tcPr>
          <w:p>
            <w:pPr>
              <w:spacing w:after="0" w:before="0"/>
            </w:pPr>
            <w:r/>
            <w:r>
              <w:rPr>
                <w:b/>
                <w:i w:val="0"/>
                <w:color w:val="FFFFFF"/>
                <w:sz w:val="18"/>
              </w:rPr>
              <w:t>Außenküche ohne Audit und Messung</w:t>
            </w:r>
          </w:p>
        </w:tc>
      </w:tr>
      <w:tr>
        <w:trPr>
          <w:cantSplit w:val="true"/>
        </w:trPr>
        <w:tc>
          <w:tcPr>
            <w:tcW w:type="dxa" w:w="3213"/>
          </w:tcPr>
          <w:p>
            <w:pPr>
              <w:spacing w:after="0" w:before="0"/>
            </w:pPr>
            <w:r/>
            <w:r>
              <w:rPr>
                <w:b w:val="0"/>
                <w:i w:val="0"/>
                <w:color w:val="1A1A1A"/>
                <w:sz w:val="18"/>
              </w:rPr>
              <w:t>Eine Stelle der Ausführung oder ein Teil des Systems?</w:t>
            </w:r>
          </w:p>
        </w:tc>
        <w:tc>
          <w:tcPr>
            <w:tcW w:type="dxa" w:w="3213"/>
          </w:tcPr>
          <w:p>
            <w:pPr>
              <w:spacing w:after="0" w:before="0"/>
            </w:pPr>
            <w:r/>
            <w:r>
              <w:rPr>
                <w:b w:val="0"/>
                <w:i w:val="0"/>
                <w:color w:val="1A1A1A"/>
                <w:sz w:val="18"/>
              </w:rPr>
              <w:t>eine Stelle: ein Schritt ohne Vertretung in einer Woche</w:t>
            </w:r>
          </w:p>
        </w:tc>
        <w:tc>
          <w:tcPr>
            <w:tcW w:type="dxa" w:w="3213"/>
          </w:tcPr>
          <w:p>
            <w:pPr>
              <w:spacing w:after="0" w:before="0"/>
            </w:pPr>
            <w:r/>
            <w:r>
              <w:rPr>
                <w:b w:val="0"/>
                <w:i w:val="0"/>
                <w:color w:val="1A1A1A"/>
                <w:sz w:val="18"/>
              </w:rPr>
              <w:t>ein Teil: ein Drittel der Veranstaltungen im Anwendungsbereich</w:t>
            </w:r>
          </w:p>
        </w:tc>
      </w:tr>
      <w:tr>
        <w:trPr>
          <w:cantSplit w:val="true"/>
        </w:trPr>
        <w:tc>
          <w:tcPr>
            <w:tcW w:type="dxa" w:w="3213"/>
            <w:shd w:val="clear" w:color="auto" w:fill="F3EFE6"/>
          </w:tcPr>
          <w:p>
            <w:pPr>
              <w:spacing w:after="0" w:before="0"/>
            </w:pPr>
            <w:r/>
            <w:r>
              <w:rPr>
                <w:b w:val="0"/>
                <w:i w:val="0"/>
                <w:color w:val="1A1A1A"/>
                <w:sz w:val="18"/>
              </w:rPr>
              <w:t>Bemerkt das System die Lücke selbst?</w:t>
            </w:r>
          </w:p>
        </w:tc>
        <w:tc>
          <w:tcPr>
            <w:tcW w:type="dxa" w:w="3213"/>
            <w:shd w:val="clear" w:color="auto" w:fill="F3EFE6"/>
          </w:tcPr>
          <w:p>
            <w:pPr>
              <w:spacing w:after="0" w:before="0"/>
            </w:pPr>
            <w:r/>
            <w:r>
              <w:rPr>
                <w:b w:val="0"/>
                <w:i w:val="0"/>
                <w:color w:val="1A1A1A"/>
                <w:sz w:val="18"/>
              </w:rPr>
              <w:t>ja, möglich über die Wiegeliste der Hauptküche</w:t>
            </w:r>
          </w:p>
        </w:tc>
        <w:tc>
          <w:tcPr>
            <w:tcW w:type="dxa" w:w="3213"/>
            <w:shd w:val="clear" w:color="auto" w:fill="F3EFE6"/>
          </w:tcPr>
          <w:p>
            <w:pPr>
              <w:spacing w:after="0" w:before="0"/>
            </w:pPr>
            <w:r/>
            <w:r>
              <w:rPr>
                <w:b w:val="0"/>
                <w:i w:val="0"/>
                <w:color w:val="1A1A1A"/>
                <w:sz w:val="18"/>
              </w:rPr>
              <w:t>nein, keine Messung und kein internes Audit</w:t>
            </w:r>
          </w:p>
        </w:tc>
      </w:tr>
      <w:tr>
        <w:trPr>
          <w:cantSplit w:val="true"/>
        </w:trPr>
        <w:tc>
          <w:tcPr>
            <w:tcW w:type="dxa" w:w="3213"/>
          </w:tcPr>
          <w:p>
            <w:pPr>
              <w:spacing w:after="0" w:before="0"/>
            </w:pPr>
            <w:r/>
            <w:r>
              <w:rPr>
                <w:b w:val="0"/>
                <w:i w:val="0"/>
                <w:color w:val="1A1A1A"/>
                <w:sz w:val="18"/>
              </w:rPr>
              <w:t>Ändert sie ein Ergebnis oder eine Aussage?</w:t>
            </w:r>
          </w:p>
        </w:tc>
        <w:tc>
          <w:tcPr>
            <w:tcW w:type="dxa" w:w="3213"/>
          </w:tcPr>
          <w:p>
            <w:pPr>
              <w:spacing w:after="0" w:before="0"/>
            </w:pPr>
            <w:r/>
            <w:r>
              <w:rPr>
                <w:b w:val="0"/>
                <w:i w:val="0"/>
                <w:color w:val="1A1A1A"/>
                <w:sz w:val="18"/>
              </w:rPr>
              <w:t>mehr Speisereste in einer Woche; kein falsches Ergebnis gemeldet</w:t>
            </w:r>
          </w:p>
        </w:tc>
        <w:tc>
          <w:tcPr>
            <w:tcW w:type="dxa" w:w="3213"/>
          </w:tcPr>
          <w:p>
            <w:pPr>
              <w:spacing w:after="0" w:before="0"/>
            </w:pPr>
            <w:r/>
            <w:r>
              <w:rPr>
                <w:b w:val="0"/>
                <w:i w:val="0"/>
                <w:color w:val="1A1A1A"/>
                <w:sz w:val="18"/>
              </w:rPr>
              <w:t>Ziel für das ganze Haus als erreicht gemeldet</w:t>
            </w:r>
          </w:p>
        </w:tc>
      </w:tr>
      <w:tr>
        <w:trPr>
          <w:cantSplit w:val="true"/>
        </w:trPr>
        <w:tc>
          <w:tcPr>
            <w:tcW w:type="dxa" w:w="3213"/>
            <w:shd w:val="clear" w:color="auto" w:fill="F3EFE6"/>
          </w:tcPr>
          <w:p>
            <w:pPr>
              <w:spacing w:after="0" w:before="0"/>
            </w:pPr>
            <w:r/>
            <w:r>
              <w:rPr>
                <w:b w:val="0"/>
                <w:i w:val="0"/>
                <w:color w:val="1A1A1A"/>
                <w:sz w:val="18"/>
              </w:rPr>
              <w:t>Was folgt für die Einstufung?</w:t>
            </w:r>
          </w:p>
        </w:tc>
        <w:tc>
          <w:tcPr>
            <w:tcW w:type="dxa" w:w="3213"/>
            <w:shd w:val="clear" w:color="auto" w:fill="F3EFE6"/>
          </w:tcPr>
          <w:p>
            <w:pPr>
              <w:spacing w:after="0" w:before="0"/>
            </w:pPr>
            <w:r/>
            <w:r>
              <w:rPr>
                <w:b w:val="0"/>
                <w:i w:val="0"/>
                <w:color w:val="1A1A1A"/>
                <w:sz w:val="18"/>
              </w:rPr>
              <w:t>geringfügig</w:t>
            </w:r>
          </w:p>
        </w:tc>
        <w:tc>
          <w:tcPr>
            <w:tcW w:type="dxa" w:w="3213"/>
            <w:shd w:val="clear" w:color="auto" w:fill="F3EFE6"/>
          </w:tcPr>
          <w:p>
            <w:pPr>
              <w:spacing w:after="0" w:before="0"/>
            </w:pPr>
            <w:r/>
            <w:r>
              <w:rPr>
                <w:b w:val="0"/>
                <w:i w:val="0"/>
                <w:color w:val="1A1A1A"/>
                <w:sz w:val="18"/>
              </w:rPr>
              <w:t>schwer</w:t>
            </w:r>
          </w:p>
        </w:tc>
      </w:tr>
    </w:tbl>
    <w:p>
      <w:pPr>
        <w:spacing w:after="40"/>
      </w:pPr>
    </w:p>
    <w:p>
      <w:pPr>
        <w:pStyle w:val="Heading2"/>
      </w:pPr>
      <w:r>
        <w:t>Praktische Anwendung: Feststellungen im Abschlussgespräch in sieben Schritten behandeln</w:t>
      </w:r>
    </w:p>
    <w:p>
      <w:pPr>
        <w:tabs>
          <w:tab w:pos="340" w:val="left"/>
        </w:tabs>
        <w:ind w:left="340" w:hanging="340"/>
      </w:pPr>
      <w:r>
        <w:rPr>
          <w:b/>
          <w:color w:val="8C5A2B"/>
        </w:rPr>
        <w:t>1.</w:t>
        <w:tab/>
      </w:r>
      <w:r>
        <w:rPr>
          <w:b/>
        </w:rPr>
        <w:t>Jede Feststellung vollständig mitschreiben.</w:t>
      </w:r>
      <w:r>
        <w:t xml:space="preserve"> Kriterium, Nachweis mit Ort und Datum, vorgeschlagene Einstufung. Was Sie nicht mitschreiben, können Sie am nächsten Tag nicht prüfen.</w:t>
      </w:r>
    </w:p>
    <w:p>
      <w:pPr>
        <w:tabs>
          <w:tab w:pos="340" w:val="left"/>
        </w:tabs>
        <w:ind w:left="340" w:hanging="340"/>
      </w:pPr>
      <w:r>
        <w:rPr>
          <w:b/>
          <w:color w:val="8C5A2B"/>
        </w:rPr>
        <w:t>2.</w:t>
        <w:tab/>
      </w:r>
      <w:r>
        <w:rPr>
          <w:b/>
        </w:rPr>
        <w:t>Die Tatsachen vor der Einstufung prüfen.</w:t>
      </w:r>
      <w:r>
        <w:t xml:space="preserve"> Fragen Sie zuerst, ob der Nachweis stimmt: richtiges Formular, richtiger Zeitraum, richtiger Raum. Erst danach lohnt das Gespräch über die Stufe.</w:t>
      </w:r>
    </w:p>
    <w:p>
      <w:pPr>
        <w:tabs>
          <w:tab w:pos="340" w:val="left"/>
        </w:tabs>
        <w:ind w:left="340" w:hanging="340"/>
      </w:pPr>
      <w:r>
        <w:rPr>
          <w:b/>
          <w:color w:val="8C5A2B"/>
        </w:rPr>
        <w:t>3.</w:t>
        <w:tab/>
      </w:r>
      <w:r>
        <w:rPr>
          <w:b/>
        </w:rPr>
        <w:t>Den Widerspruch mit einem Nachweis führen.</w:t>
      </w:r>
      <w:r>
        <w:t xml:space="preserve"> Legen Sie ein Papier, einen Eintrag oder einen Zustand vor, der die Tatsache ändert. Ein Argument ohne Nachweis ändert keine Feststellung.</w:t>
      </w:r>
    </w:p>
    <w:p>
      <w:pPr>
        <w:tabs>
          <w:tab w:pos="340" w:val="left"/>
        </w:tabs>
        <w:ind w:left="340" w:hanging="340"/>
      </w:pPr>
      <w:r>
        <w:rPr>
          <w:b/>
          <w:color w:val="8C5A2B"/>
        </w:rPr>
        <w:t>4.</w:t>
        <w:tab/>
      </w:r>
      <w:r>
        <w:rPr>
          <w:b/>
        </w:rPr>
        <w:t>Die drei Fragen selbst stellen.</w:t>
      </w:r>
      <w:r>
        <w:t xml:space="preserve"> Eine Stelle oder ein Teil? Bemerkt das System die Lücke? Ändert sie ein Ergebnis oder eine Aussage? So verstehen Sie die Einstufung, auch wenn Sie ihr nicht zustimmen.</w:t>
      </w:r>
    </w:p>
    <w:p>
      <w:pPr>
        <w:tabs>
          <w:tab w:pos="340" w:val="left"/>
        </w:tabs>
        <w:ind w:left="340" w:hanging="340"/>
      </w:pPr>
      <w:r>
        <w:rPr>
          <w:b/>
          <w:color w:val="8C5A2B"/>
        </w:rPr>
        <w:t>5.</w:t>
        <w:tab/>
      </w:r>
      <w:r>
        <w:rPr>
          <w:b/>
        </w:rPr>
        <w:t>Die Beobachtungen in Ihre eigene Liste nehmen.</w:t>
      </w:r>
      <w:r>
        <w:t xml:space="preserve"> Sie verlangen keinen Plan von der Stelle, aber sie zeigen, wo die nächste Nichtkonformität entstehen kann.</w:t>
      </w:r>
    </w:p>
    <w:p>
      <w:pPr>
        <w:tabs>
          <w:tab w:pos="340" w:val="left"/>
        </w:tabs>
        <w:ind w:left="340" w:hanging="340"/>
      </w:pPr>
      <w:r>
        <w:rPr>
          <w:b/>
          <w:color w:val="8C5A2B"/>
        </w:rPr>
        <w:t>6.</w:t>
        <w:tab/>
      </w:r>
      <w:r>
        <w:rPr>
          <w:b/>
        </w:rPr>
        <w:t>Nach den Folgen fragen.</w:t>
      </w:r>
      <w:r>
        <w:t xml:space="preserve"> Lassen Sie sich sagen, was die Stelle bei schweren Nichtkonformitäten verifizieren will, auf welchem Weg und in welcher Frist nach ihren Regeln.</w:t>
      </w:r>
    </w:p>
    <w:p>
      <w:pPr>
        <w:tabs>
          <w:tab w:pos="340" w:val="left"/>
        </w:tabs>
        <w:ind w:left="340" w:hanging="340"/>
      </w:pPr>
      <w:r>
        <w:rPr>
          <w:b/>
          <w:color w:val="8C5A2B"/>
        </w:rPr>
        <w:t>7.</w:t>
        <w:tab/>
      </w:r>
      <w:r>
        <w:rPr>
          <w:b/>
        </w:rPr>
        <w:t>Das Protokoll erst unterschreiben, wenn es stimmt.</w:t>
      </w:r>
      <w:r>
        <w:t xml:space="preserve"> Unterschreiben Sie den Wortlaut der Feststellungen, nicht Ihre Zustimmung zur Einstufung, und vermerken Sie, wo Sie widersprochen haben.</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Jede Feststellung vollständig mitschreiben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Die Tatsachen vor der Einstufung prüfen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Den Widerspruch mit einem Nachweis führen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Die drei Fragen selbst stellen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Die Beobachtungen in Ihre eigene Liste nehmen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Nach den Folgen fragen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Das Protokoll erst unterschreiben, wenn es stimmt</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Nennt Ihr Auditprogramm jeden Teil des Anwendungsbereichs mit seinem Namen im Handbuch?</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Steht bei jeder Zahl der Managementbewertung, aus welcher Messung sie stammt?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Wurde das Rechtskataster nach der Verkündung neuer Werberegeln überprüft?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Hat jeder Schritt mit eigenem Kriterium eine benannte Vertretung?</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Wissen Sie, nach welchen Begriffen Ihre Stelle schwer und geringfügig unterscheidet?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Können Sie im Abschlussgespräch Nachweise aus der Software und den Ordnern sofort vorlegen?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Führen Sie Beobachtungen der Stelle in Ihrer eigenen Liste weiter?</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Unterscheidet Ihr Protokoll zwischen Wortlaut der Feststellung und Ihrer Zustimmung zur Einstufung?</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Fälle zählen.</w:t>
      </w:r>
      <w:r>
        <w:t xml:space="preserve"> Drei Fehler an einer Stelle wiegen weniger als ein blinder Teil des Systems.</w:t>
      </w:r>
    </w:p>
    <w:p>
      <w:pPr>
        <w:tabs>
          <w:tab w:pos="340" w:val="left"/>
        </w:tabs>
        <w:ind w:left="340" w:hanging="340"/>
      </w:pPr>
      <w:r>
        <w:rPr>
          <w:color w:val="8C5A2B"/>
        </w:rPr>
        <w:t>–</w:t>
        <w:tab/>
      </w:r>
      <w:r>
        <w:rPr>
          <w:b/>
        </w:rPr>
        <w:t>Einen fehlenden Termin kleinreden.</w:t>
      </w:r>
      <w:r>
        <w:t xml:space="preserve"> Wer ein Audit nicht macht, sieht einen ganzen Bereich nicht.</w:t>
      </w:r>
    </w:p>
    <w:p>
      <w:pPr>
        <w:tabs>
          <w:tab w:pos="340" w:val="left"/>
        </w:tabs>
        <w:ind w:left="340" w:hanging="340"/>
      </w:pPr>
      <w:r>
        <w:rPr>
          <w:color w:val="8C5A2B"/>
        </w:rPr>
        <w:t>–</w:t>
        <w:tab/>
      </w:r>
      <w:r>
        <w:rPr>
          <w:b/>
        </w:rPr>
        <w:t>Mit dem falschen Papier widersprechen.</w:t>
      </w:r>
      <w:r>
        <w:t xml:space="preserve"> Eine Hygienecheckliste belegt keine Messung von Speiseresten.</w:t>
      </w:r>
    </w:p>
    <w:p>
      <w:pPr>
        <w:tabs>
          <w:tab w:pos="340" w:val="left"/>
        </w:tabs>
        <w:ind w:left="340" w:hanging="340"/>
      </w:pPr>
      <w:r>
        <w:rPr>
          <w:color w:val="8C5A2B"/>
        </w:rPr>
        <w:t>–</w:t>
        <w:tab/>
      </w:r>
      <w:r>
        <w:rPr>
          <w:b/>
        </w:rPr>
        <w:t>Über die Stufe verhandeln.</w:t>
      </w:r>
      <w:r>
        <w:t xml:space="preserve"> Die Einstufung folgt den Tatsachen; geändert werden nur diese.</w:t>
      </w:r>
    </w:p>
    <w:p>
      <w:pPr>
        <w:tabs>
          <w:tab w:pos="340" w:val="left"/>
        </w:tabs>
        <w:ind w:left="340" w:hanging="340"/>
      </w:pPr>
      <w:r>
        <w:rPr>
          <w:color w:val="8C5A2B"/>
        </w:rPr>
        <w:t>–</w:t>
        <w:tab/>
      </w:r>
      <w:r>
        <w:rPr>
          <w:b/>
        </w:rPr>
        <w:t>Die Beobachtung vergessen.</w:t>
      </w:r>
      <w:r>
        <w:t xml:space="preserve"> Sie ist die Nichtkonformität des nächsten Jahres, wenn niemand sie aufnimmt.</w:t>
      </w:r>
    </w:p>
    <w:p>
      <w:pPr>
        <w:tabs>
          <w:tab w:pos="340" w:val="left"/>
        </w:tabs>
        <w:ind w:left="340" w:hanging="340"/>
      </w:pPr>
      <w:r>
        <w:rPr>
          <w:color w:val="8C5A2B"/>
        </w:rPr>
        <w:t>–</w:t>
        <w:tab/>
      </w:r>
      <w:r>
        <w:rPr>
          <w:b/>
        </w:rPr>
        <w:t>Vom Auditor das Zertifikat erwarten.</w:t>
      </w:r>
      <w:r>
        <w:t xml:space="preserve"> Entschieden wird an anderer Stelle der Zertifizierungsstelle.</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Internes Audit der Außenküche, im September mitgeplant</w:t>
            </w:r>
          </w:p>
        </w:tc>
        <w:tc>
          <w:tcPr>
            <w:tcW w:type="dxa" w:w="1474"/>
          </w:tcPr>
          <w:p>
            <w:pPr>
              <w:spacing w:after="0" w:before="0"/>
            </w:pPr>
            <w:r/>
            <w:r>
              <w:rPr>
                <w:b w:val="0"/>
                <w:i w:val="0"/>
                <w:color w:val="1A1A1A"/>
                <w:sz w:val="18"/>
              </w:rPr>
              <w:t>6 Stunden</w:t>
            </w:r>
          </w:p>
        </w:tc>
        <w:tc>
          <w:tcPr>
            <w:tcW w:type="dxa" w:w="3175"/>
          </w:tcPr>
          <w:p>
            <w:pPr>
              <w:spacing w:after="0" w:before="0"/>
            </w:pPr>
            <w:r/>
            <w:r>
              <w:rPr>
                <w:b w:val="0"/>
                <w:i w:val="0"/>
                <w:color w:val="1A1A1A"/>
                <w:sz w:val="18"/>
              </w:rPr>
              <w:t>interne Auditorin; was es gekostet hätte</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Waage und Wiegeliste für die Außenküche</w:t>
            </w:r>
          </w:p>
        </w:tc>
        <w:tc>
          <w:tcPr>
            <w:tcW w:type="dxa" w:w="1474"/>
            <w:shd w:val="clear" w:color="auto" w:fill="F3EFE6"/>
          </w:tcPr>
          <w:p>
            <w:pPr>
              <w:spacing w:after="0" w:before="0"/>
            </w:pPr>
            <w:r/>
            <w:r>
              <w:rPr>
                <w:b w:val="0"/>
                <w:i w:val="0"/>
                <w:color w:val="1A1A1A"/>
                <w:sz w:val="18"/>
              </w:rPr>
              <w:t>€ 480</w:t>
            </w:r>
          </w:p>
        </w:tc>
        <w:tc>
          <w:tcPr>
            <w:tcW w:type="dxa" w:w="3175"/>
            <w:shd w:val="clear" w:color="auto" w:fill="F3EFE6"/>
          </w:tcPr>
          <w:p>
            <w:pPr>
              <w:spacing w:after="0" w:before="0"/>
            </w:pPr>
            <w:r/>
            <w:r>
              <w:rPr>
                <w:b w:val="0"/>
                <w:i w:val="0"/>
                <w:color w:val="1A1A1A"/>
                <w:sz w:val="18"/>
              </w:rPr>
              <w:t>einmalig</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Nachweise für die schwere Nichtkonformität zusammenstellen</w:t>
            </w:r>
          </w:p>
        </w:tc>
        <w:tc>
          <w:tcPr>
            <w:tcW w:type="dxa" w:w="1474"/>
          </w:tcPr>
          <w:p>
            <w:pPr>
              <w:spacing w:after="0" w:before="0"/>
            </w:pPr>
            <w:r/>
            <w:r>
              <w:rPr>
                <w:b w:val="0"/>
                <w:i w:val="0"/>
                <w:color w:val="1A1A1A"/>
                <w:sz w:val="18"/>
              </w:rPr>
              <w:t>14 Stunden</w:t>
            </w:r>
          </w:p>
        </w:tc>
        <w:tc>
          <w:tcPr>
            <w:tcW w:type="dxa" w:w="3175"/>
          </w:tcPr>
          <w:p>
            <w:pPr>
              <w:spacing w:after="0" w:before="0"/>
            </w:pPr>
            <w:r/>
            <w:r>
              <w:rPr>
                <w:b w:val="0"/>
                <w:i w:val="0"/>
                <w:color w:val="1A1A1A"/>
                <w:sz w:val="18"/>
              </w:rPr>
              <w:t>Veranstaltungsleiter, Küchenchef, Direktorin</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Zusätzlicher Besuch der Stelle zur Verifizierung: 1 Tag zu € 1.350</w:t>
            </w:r>
          </w:p>
        </w:tc>
        <w:tc>
          <w:tcPr>
            <w:tcW w:type="dxa" w:w="1474"/>
            <w:shd w:val="clear" w:color="auto" w:fill="F3EFE6"/>
          </w:tcPr>
          <w:p>
            <w:pPr>
              <w:spacing w:after="0" w:before="0"/>
            </w:pPr>
            <w:r/>
            <w:r>
              <w:rPr>
                <w:b w:val="0"/>
                <w:i w:val="0"/>
                <w:color w:val="1A1A1A"/>
                <w:sz w:val="18"/>
              </w:rPr>
              <w:t>€ 1.350</w:t>
            </w:r>
          </w:p>
        </w:tc>
        <w:tc>
          <w:tcPr>
            <w:tcW w:type="dxa" w:w="3175"/>
            <w:shd w:val="clear" w:color="auto" w:fill="F3EFE6"/>
          </w:tcPr>
          <w:p>
            <w:pPr>
              <w:spacing w:after="0" w:before="0"/>
            </w:pPr>
            <w:r/>
            <w:r>
              <w:rPr>
                <w:b w:val="0"/>
                <w:i w:val="0"/>
                <w:color w:val="1A1A1A"/>
                <w:sz w:val="18"/>
              </w:rPr>
              <w:t>Modellsatz, zuzüglich Reisekosten</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Pläne für die zwei geringfügigen Nichtkonformitäten</w:t>
            </w:r>
          </w:p>
        </w:tc>
        <w:tc>
          <w:tcPr>
            <w:tcW w:type="dxa" w:w="1474"/>
          </w:tcPr>
          <w:p>
            <w:pPr>
              <w:spacing w:after="0" w:before="0"/>
            </w:pPr>
            <w:r/>
            <w:r>
              <w:rPr>
                <w:b w:val="0"/>
                <w:i w:val="0"/>
                <w:color w:val="1A1A1A"/>
                <w:sz w:val="18"/>
              </w:rPr>
              <w:t>5 Stunden</w:t>
            </w:r>
          </w:p>
        </w:tc>
        <w:tc>
          <w:tcPr>
            <w:tcW w:type="dxa" w:w="3175"/>
          </w:tcPr>
          <w:p>
            <w:pPr>
              <w:spacing w:after="0" w:before="0"/>
            </w:pPr>
            <w:r/>
            <w:r>
              <w:rPr>
                <w:b w:val="0"/>
                <w:i w:val="0"/>
                <w:color w:val="1A1A1A"/>
                <w:sz w:val="18"/>
              </w:rPr>
              <w:t>Veranstaltungsleiter, Marketing</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Umsatz einer Ausschreibung im Februar, die ein Zertifikat verlangt</w:t>
            </w:r>
          </w:p>
        </w:tc>
        <w:tc>
          <w:tcPr>
            <w:tcW w:type="dxa" w:w="1474"/>
            <w:shd w:val="clear" w:color="auto" w:fill="F3EFE6"/>
          </w:tcPr>
          <w:p>
            <w:pPr>
              <w:spacing w:after="0" w:before="0"/>
            </w:pPr>
            <w:r/>
            <w:r>
              <w:rPr>
                <w:b w:val="0"/>
                <w:i w:val="0"/>
                <w:color w:val="1A1A1A"/>
                <w:sz w:val="18"/>
              </w:rPr>
              <w:t>€ 62.000</w:t>
            </w:r>
          </w:p>
        </w:tc>
        <w:tc>
          <w:tcPr>
            <w:tcW w:type="dxa" w:w="3175"/>
            <w:shd w:val="clear" w:color="auto" w:fill="F3EFE6"/>
          </w:tcPr>
          <w:p>
            <w:pPr>
              <w:spacing w:after="0" w:before="0"/>
            </w:pPr>
            <w:r/>
            <w:r>
              <w:rPr>
                <w:b w:val="0"/>
                <w:i w:val="0"/>
                <w:color w:val="1A1A1A"/>
                <w:sz w:val="18"/>
              </w:rPr>
              <w:t>Umsatz, nicht Gewinn; ob sie gewonnen würde, ist offen</w:t>
            </w:r>
          </w:p>
        </w:tc>
        <w:tc>
          <w:tcPr>
            <w:tcW w:type="dxa" w:w="1814"/>
            <w:shd w:val="clear" w:color="auto" w:fill="F3EFE6"/>
          </w:tcPr>
          <w:p>
            <w:pPr>
              <w:spacing w:after="0" w:before="0"/>
            </w:pPr>
            <w:r/>
            <w:r>
              <w:rPr>
                <w:b w:val="0"/>
                <w:i w:val="0"/>
                <w:color w:val="1A1A1A"/>
                <w:sz w:val="18"/>
              </w:rPr>
            </w:r>
          </w:p>
        </w:tc>
      </w:tr>
    </w:tbl>
    <w:p>
      <w:pPr>
        <w:spacing w:after="40"/>
      </w:pPr>
    </w:p>
    <w:p>
      <w:r>
        <w:rPr>
          <w:b w:val="0"/>
          <w:i w:val="0"/>
        </w:rPr>
        <w:t>Die Rechnung stellt zwei Größen nebeneinander, die man nicht addieren darf. Sechs Stunden im September hätten die schwere Nichtkonformität vermutlich verhindert, nachgeholt kostet sie das Haus vierzehn Stunden und einen Tag der Stelle. Die letzte Zeile ist Umsatz und nicht Gewinn, und sie ist nur dann verloren, wenn das Zertifikat zu spät kommt und der Verband es verlangt. Sie zeigt, warum Roth verhandeln wollte, und warum das nichts geändert hätte.</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Leitfaden oder Methode</w:t>
            </w:r>
          </w:p>
        </w:tc>
      </w:tr>
      <w:tr>
        <w:trPr>
          <w:cantSplit w:val="true"/>
        </w:trPr>
        <w:tc>
          <w:tcPr>
            <w:tcW w:type="dxa" w:w="3288"/>
          </w:tcPr>
          <w:p>
            <w:pPr>
              <w:spacing w:after="0" w:before="0"/>
            </w:pPr>
            <w:r/>
            <w:r>
              <w:rPr>
                <w:b w:val="0"/>
                <w:i w:val="0"/>
                <w:color w:val="1A1A1A"/>
                <w:sz w:val="18"/>
              </w:rPr>
              <w:t>Interne Audits in geplanten Abständen; Programm mit Umfang (ISO 20121, 9.2.1, 9.2.2)</w:t>
            </w:r>
          </w:p>
        </w:tc>
        <w:tc>
          <w:tcPr>
            <w:tcW w:type="dxa" w:w="3175"/>
          </w:tcPr>
          <w:p>
            <w:pPr>
              <w:spacing w:after="0" w:before="0"/>
            </w:pPr>
            <w:r/>
            <w:r>
              <w:rPr>
                <w:b w:val="0"/>
                <w:i w:val="0"/>
                <w:color w:val="1A1A1A"/>
                <w:sz w:val="18"/>
              </w:rPr>
              <w:t>Programm, das jeden Teil des Anwendungsbereichs nennt, auch die Außenküche</w:t>
            </w:r>
          </w:p>
        </w:tc>
        <w:tc>
          <w:tcPr>
            <w:tcW w:type="dxa" w:w="3175"/>
          </w:tcPr>
          <w:p>
            <w:pPr>
              <w:spacing w:after="0" w:before="0"/>
            </w:pPr>
            <w:r/>
            <w:r>
              <w:rPr>
                <w:b w:val="0"/>
                <w:i w:val="0"/>
                <w:color w:val="1A1A1A"/>
                <w:sz w:val="18"/>
              </w:rPr>
              <w:t>ISO 19011:2026 als Leitfaden zum Programm; Methode: Programm gegen den Lageplan lesen</w:t>
            </w:r>
          </w:p>
        </w:tc>
      </w:tr>
      <w:tr>
        <w:trPr>
          <w:cantSplit w:val="true"/>
        </w:trPr>
        <w:tc>
          <w:tcPr>
            <w:tcW w:type="dxa" w:w="3288"/>
            <w:shd w:val="clear" w:color="auto" w:fill="F3EFE6"/>
          </w:tcPr>
          <w:p>
            <w:pPr>
              <w:spacing w:after="0" w:before="0"/>
            </w:pPr>
            <w:r/>
            <w:r>
              <w:rPr>
                <w:b w:val="0"/>
                <w:i w:val="0"/>
                <w:color w:val="1A1A1A"/>
                <w:sz w:val="18"/>
              </w:rPr>
              <w:t>Überwachen, messen, Zielerreichung dokumentieren (9.1)</w:t>
            </w:r>
          </w:p>
        </w:tc>
        <w:tc>
          <w:tcPr>
            <w:tcW w:type="dxa" w:w="3175"/>
            <w:shd w:val="clear" w:color="auto" w:fill="F3EFE6"/>
          </w:tcPr>
          <w:p>
            <w:pPr>
              <w:spacing w:after="0" w:before="0"/>
            </w:pPr>
            <w:r/>
            <w:r>
              <w:rPr>
                <w:b w:val="0"/>
                <w:i w:val="0"/>
                <w:color w:val="1A1A1A"/>
                <w:sz w:val="18"/>
              </w:rPr>
              <w:t>Wiegelisten beider Küchen; Kennzahl mit Angabe, woher sie stammt</w:t>
            </w:r>
          </w:p>
        </w:tc>
        <w:tc>
          <w:tcPr>
            <w:tcW w:type="dxa" w:w="3175"/>
            <w:shd w:val="clear" w:color="auto" w:fill="F3EFE6"/>
          </w:tcPr>
          <w:p>
            <w:pPr>
              <w:spacing w:after="0" w:before="0"/>
            </w:pPr>
            <w:r/>
            <w:r>
              <w:rPr>
                <w:b w:val="0"/>
                <w:i w:val="0"/>
                <w:color w:val="1A1A1A"/>
                <w:sz w:val="18"/>
              </w:rPr>
              <w:t>Methode: jede Zahl der Managementbewertung mit ihrer Quelle</w:t>
            </w:r>
          </w:p>
        </w:tc>
      </w:tr>
      <w:tr>
        <w:trPr>
          <w:cantSplit w:val="true"/>
        </w:trPr>
        <w:tc>
          <w:tcPr>
            <w:tcW w:type="dxa" w:w="3288"/>
          </w:tcPr>
          <w:p>
            <w:pPr>
              <w:spacing w:after="0" w:before="0"/>
            </w:pPr>
            <w:r/>
            <w:r>
              <w:rPr>
                <w:b w:val="0"/>
                <w:i w:val="0"/>
                <w:color w:val="1A1A1A"/>
                <w:sz w:val="18"/>
              </w:rPr>
              <w:t>Prozess für aktuelle und aufkommende rechtliche Anforderungen, periodisch überprüft (6.1.3)</w:t>
            </w:r>
          </w:p>
        </w:tc>
        <w:tc>
          <w:tcPr>
            <w:tcW w:type="dxa" w:w="3175"/>
          </w:tcPr>
          <w:p>
            <w:pPr>
              <w:spacing w:after="0" w:before="0"/>
            </w:pPr>
            <w:r/>
            <w:r>
              <w:rPr>
                <w:b w:val="0"/>
                <w:i w:val="0"/>
                <w:color w:val="1A1A1A"/>
                <w:sz w:val="18"/>
              </w:rPr>
              <w:t>Kataster mit Datum der Überprüfung und den Regeln zu Umweltaussagen</w:t>
            </w:r>
          </w:p>
        </w:tc>
        <w:tc>
          <w:tcPr>
            <w:tcW w:type="dxa" w:w="3175"/>
          </w:tcPr>
          <w:p>
            <w:pPr>
              <w:spacing w:after="0" w:before="0"/>
            </w:pPr>
            <w:r/>
            <w:r>
              <w:rPr>
                <w:b w:val="0"/>
                <w:i w:val="0"/>
                <w:color w:val="1A1A1A"/>
                <w:sz w:val="18"/>
              </w:rPr>
              <w:t>Methode: Kataster nach jeder Verkündung prüfen, nicht nur zum Halbjahr</w:t>
            </w:r>
          </w:p>
        </w:tc>
      </w:tr>
      <w:tr>
        <w:trPr>
          <w:cantSplit w:val="true"/>
        </w:trPr>
        <w:tc>
          <w:tcPr>
            <w:tcW w:type="dxa" w:w="3288"/>
            <w:shd w:val="clear" w:color="auto" w:fill="F3EFE6"/>
          </w:tcPr>
          <w:p>
            <w:pPr>
              <w:spacing w:after="0" w:before="0"/>
            </w:pPr>
            <w:r/>
            <w:r>
              <w:rPr>
                <w:b w:val="0"/>
                <w:i w:val="0"/>
                <w:color w:val="1A1A1A"/>
                <w:sz w:val="18"/>
              </w:rPr>
              <w:t>Prozesse nach eigenen Kriterien steuern (8.1)</w:t>
            </w:r>
          </w:p>
        </w:tc>
        <w:tc>
          <w:tcPr>
            <w:tcW w:type="dxa" w:w="3175"/>
            <w:shd w:val="clear" w:color="auto" w:fill="F3EFE6"/>
          </w:tcPr>
          <w:p>
            <w:pPr>
              <w:spacing w:after="0" w:before="0"/>
            </w:pPr>
            <w:r/>
            <w:r>
              <w:rPr>
                <w:b w:val="0"/>
                <w:i w:val="0"/>
                <w:color w:val="1A1A1A"/>
                <w:sz w:val="18"/>
              </w:rPr>
              <w:t>Formulare mit Mengenkorrektur und Abzeichnung</w:t>
            </w:r>
          </w:p>
        </w:tc>
        <w:tc>
          <w:tcPr>
            <w:tcW w:type="dxa" w:w="3175"/>
            <w:shd w:val="clear" w:color="auto" w:fill="F3EFE6"/>
          </w:tcPr>
          <w:p>
            <w:pPr>
              <w:spacing w:after="0" w:before="0"/>
            </w:pPr>
            <w:r/>
            <w:r>
              <w:rPr>
                <w:b w:val="0"/>
                <w:i w:val="0"/>
                <w:color w:val="1A1A1A"/>
                <w:sz w:val="18"/>
              </w:rPr>
              <w:t>Methode: Vertretung für jeden Schritt mit Namen</w:t>
            </w:r>
          </w:p>
        </w:tc>
      </w:tr>
      <w:tr>
        <w:trPr>
          <w:cantSplit w:val="true"/>
        </w:trPr>
        <w:tc>
          <w:tcPr>
            <w:tcW w:type="dxa" w:w="3288"/>
          </w:tcPr>
          <w:p>
            <w:pPr>
              <w:spacing w:after="0" w:before="0"/>
            </w:pPr>
            <w:r/>
            <w:r>
              <w:rPr>
                <w:b w:val="0"/>
                <w:i w:val="0"/>
                <w:color w:val="1A1A1A"/>
                <w:sz w:val="18"/>
              </w:rPr>
              <w:t>Stelle: schwer = Korrektur und Korrekturmaßnahmen vor der Entscheidung verifiziert; geringfügig = Plan geprüft und akzeptiert (ISO/IEC 17021-1, 9.5.2)</w:t>
            </w:r>
          </w:p>
        </w:tc>
        <w:tc>
          <w:tcPr>
            <w:tcW w:type="dxa" w:w="3175"/>
          </w:tcPr>
          <w:p>
            <w:pPr>
              <w:spacing w:after="0" w:before="0"/>
            </w:pPr>
            <w:r/>
            <w:r>
              <w:rPr>
                <w:b w:val="0"/>
                <w:i w:val="0"/>
                <w:color w:val="1A1A1A"/>
                <w:sz w:val="18"/>
              </w:rPr>
              <w:t>Nachweise und Pläne je Feststellung</w:t>
            </w:r>
          </w:p>
        </w:tc>
        <w:tc>
          <w:tcPr>
            <w:tcW w:type="dxa" w:w="3175"/>
          </w:tcPr>
          <w:p>
            <w:pPr>
              <w:spacing w:after="0" w:before="0"/>
            </w:pPr>
            <w:r/>
            <w:r>
              <w:rPr>
                <w:b w:val="0"/>
                <w:i w:val="0"/>
                <w:color w:val="1A1A1A"/>
                <w:sz w:val="18"/>
              </w:rPr>
              <w:t>Methode: Beobachtungen wie Feststellungen in die Liste des Hauses</w:t>
            </w:r>
          </w:p>
        </w:tc>
      </w:tr>
    </w:tbl>
    <w:p>
      <w:pPr>
        <w:spacing w:after="40"/>
      </w:pPr>
    </w:p>
    <w:p>
      <w:pPr>
        <w:pStyle w:val="Heading2"/>
      </w:pPr>
      <w:r>
        <w:t>DACH-Anker: was bei Feststellungen in der Zertifizierung Recht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Akkreditierung für ISO 20121</w:t>
            </w:r>
          </w:p>
        </w:tc>
        <w:tc>
          <w:tcPr>
            <w:tcW w:type="dxa" w:w="2721"/>
          </w:tcPr>
          <w:p>
            <w:pPr>
              <w:spacing w:after="0" w:before="0"/>
            </w:pPr>
            <w:r/>
            <w:r>
              <w:rPr>
                <w:b w:val="0"/>
                <w:i w:val="0"/>
                <w:color w:val="1A1A1A"/>
                <w:sz w:val="17"/>
              </w:rPr>
              <w:t>Antrag bei der DAkkS; Entscheidung stand im September 2026 aus</w:t>
            </w:r>
          </w:p>
        </w:tc>
        <w:tc>
          <w:tcPr>
            <w:tcW w:type="dxa" w:w="2721"/>
          </w:tcPr>
          <w:p>
            <w:pPr>
              <w:spacing w:after="0" w:before="0"/>
            </w:pPr>
            <w:r/>
            <w:r>
              <w:rPr>
                <w:b w:val="0"/>
                <w:i w:val="0"/>
                <w:color w:val="1A1A1A"/>
                <w:sz w:val="17"/>
              </w:rPr>
              <w:t>Akkreditierung Austria; Leitfaden L08 zu ISO/IEC 17021-1; Akkreditierung für ISO 20121 nicht belegt</w:t>
            </w:r>
          </w:p>
        </w:tc>
        <w:tc>
          <w:tcPr>
            <w:tcW w:type="dxa" w:w="2721"/>
          </w:tcPr>
          <w:p>
            <w:pPr>
              <w:spacing w:after="0" w:before="0"/>
            </w:pPr>
            <w:r/>
            <w:r>
              <w:rPr>
                <w:b w:val="0"/>
                <w:i w:val="0"/>
                <w:color w:val="1A1A1A"/>
                <w:sz w:val="17"/>
              </w:rPr>
              <w:t>SAS, Auftritt über das SECO; Akkreditierung für ISO 20121 nicht belegt</w:t>
            </w:r>
          </w:p>
        </w:tc>
      </w:tr>
      <w:tr>
        <w:trPr>
          <w:cantSplit w:val="true"/>
        </w:trPr>
        <w:tc>
          <w:tcPr>
            <w:tcW w:type="dxa" w:w="1474"/>
            <w:shd w:val="clear" w:color="auto" w:fill="F3EFE6"/>
          </w:tcPr>
          <w:p>
            <w:pPr>
              <w:spacing w:after="0" w:before="0"/>
            </w:pPr>
            <w:r/>
            <w:r>
              <w:rPr>
                <w:b w:val="0"/>
                <w:i w:val="0"/>
                <w:color w:val="1A1A1A"/>
                <w:sz w:val="17"/>
              </w:rPr>
              <w:t>Umweltaussagen gegenüber Verbrauchern im Kataster</w:t>
            </w:r>
          </w:p>
        </w:tc>
        <w:tc>
          <w:tcPr>
            <w:tcW w:type="dxa" w:w="2721"/>
            <w:shd w:val="clear" w:color="auto" w:fill="F3EFE6"/>
          </w:tcPr>
          <w:p>
            <w:pPr>
              <w:spacing w:after="0" w:before="0"/>
            </w:pPr>
            <w:r/>
            <w:r>
              <w:rPr>
                <w:b w:val="0"/>
                <w:i w:val="0"/>
                <w:color w:val="1A1A1A"/>
                <w:sz w:val="17"/>
              </w:rPr>
              <w:t>UWG, Anhang Nr. 2a und 4a bis 4c, seit 27. September 2026</w:t>
            </w:r>
          </w:p>
        </w:tc>
        <w:tc>
          <w:tcPr>
            <w:tcW w:type="dxa" w:w="2721"/>
            <w:shd w:val="clear" w:color="auto" w:fill="F3EFE6"/>
          </w:tcPr>
          <w:p>
            <w:pPr>
              <w:spacing w:after="0" w:before="0"/>
            </w:pPr>
            <w:r/>
            <w:r>
              <w:rPr>
                <w:b w:val="0"/>
                <w:i w:val="0"/>
                <w:color w:val="1A1A1A"/>
                <w:sz w:val="17"/>
              </w:rPr>
              <w:t>UWG-Novelle BGBl. I Nr. 58/2026, seit 27. September 2026</w:t>
            </w:r>
          </w:p>
        </w:tc>
        <w:tc>
          <w:tcPr>
            <w:tcW w:type="dxa" w:w="2721"/>
            <w:shd w:val="clear" w:color="auto" w:fill="F3EFE6"/>
          </w:tcPr>
          <w:p>
            <w:pPr>
              <w:spacing w:after="0" w:before="0"/>
            </w:pPr>
            <w:r/>
            <w:r>
              <w:rPr>
                <w:b w:val="0"/>
                <w:i w:val="0"/>
                <w:color w:val="1A1A1A"/>
                <w:sz w:val="17"/>
              </w:rPr>
              <w:t>Art. 3 Abs. 1 lit. x UWG für Klimaaussagen seit 1. Januar 2025; lit. b</w:t>
            </w:r>
          </w:p>
        </w:tc>
      </w:tr>
      <w:tr>
        <w:trPr>
          <w:cantSplit w:val="true"/>
        </w:trPr>
        <w:tc>
          <w:tcPr>
            <w:tcW w:type="dxa" w:w="1474"/>
          </w:tcPr>
          <w:p>
            <w:pPr>
              <w:spacing w:after="0" w:before="0"/>
            </w:pPr>
            <w:r/>
            <w:r>
              <w:rPr>
                <w:b w:val="0"/>
                <w:i w:val="0"/>
                <w:color w:val="1A1A1A"/>
                <w:sz w:val="17"/>
              </w:rPr>
              <w:t>Gegenüber Firmenkunden</w:t>
            </w:r>
          </w:p>
        </w:tc>
        <w:tc>
          <w:tcPr>
            <w:tcW w:type="dxa" w:w="2721"/>
          </w:tcPr>
          <w:p>
            <w:pPr>
              <w:spacing w:after="0" w:before="0"/>
            </w:pPr>
            <w:r/>
            <w:r>
              <w:rPr>
                <w:b w:val="0"/>
                <w:i w:val="0"/>
                <w:color w:val="1A1A1A"/>
                <w:sz w:val="17"/>
              </w:rPr>
              <w:t>Sonderregeln nicht ohne Weiteres; allgemeines Irreführungsverbot gilt</w:t>
            </w:r>
          </w:p>
        </w:tc>
        <w:tc>
          <w:tcPr>
            <w:tcW w:type="dxa" w:w="2721"/>
          </w:tcPr>
          <w:p>
            <w:pPr>
              <w:spacing w:after="0" w:before="0"/>
            </w:pPr>
            <w:r/>
            <w:r>
              <w:rPr>
                <w:b w:val="0"/>
                <w:i w:val="0"/>
                <w:color w:val="1A1A1A"/>
                <w:sz w:val="17"/>
              </w:rPr>
              <w:t>ebenso</w:t>
            </w:r>
          </w:p>
        </w:tc>
        <w:tc>
          <w:tcPr>
            <w:tcW w:type="dxa" w:w="2721"/>
          </w:tcPr>
          <w:p>
            <w:pPr>
              <w:spacing w:after="0" w:before="0"/>
            </w:pPr>
            <w:r/>
            <w:r>
              <w:rPr>
                <w:b w:val="0"/>
                <w:i w:val="0"/>
                <w:color w:val="1A1A1A"/>
                <w:sz w:val="17"/>
              </w:rPr>
              <w:t>allgemeines Irreführungsverbot (lit. b)</w:t>
            </w:r>
          </w:p>
        </w:tc>
      </w:tr>
      <w:tr>
        <w:trPr>
          <w:cantSplit w:val="true"/>
        </w:trPr>
        <w:tc>
          <w:tcPr>
            <w:tcW w:type="dxa" w:w="1474"/>
            <w:shd w:val="clear" w:color="auto" w:fill="F3EFE6"/>
          </w:tcPr>
          <w:p>
            <w:pPr>
              <w:spacing w:after="0" w:before="0"/>
            </w:pPr>
            <w:r/>
            <w:r>
              <w:rPr>
                <w:b w:val="0"/>
                <w:i w:val="0"/>
                <w:color w:val="1A1A1A"/>
                <w:sz w:val="17"/>
              </w:rPr>
              <w:t>Kundendaten in Bankettformularen</w:t>
            </w:r>
          </w:p>
        </w:tc>
        <w:tc>
          <w:tcPr>
            <w:tcW w:type="dxa" w:w="2721"/>
            <w:shd w:val="clear" w:color="auto" w:fill="F3EFE6"/>
          </w:tcPr>
          <w:p>
            <w:pPr>
              <w:spacing w:after="0" w:before="0"/>
            </w:pPr>
            <w:r/>
            <w:r>
              <w:rPr>
                <w:b w:val="0"/>
                <w:i w:val="0"/>
                <w:color w:val="1A1A1A"/>
                <w:sz w:val="17"/>
              </w:rPr>
              <w:t>DSGVO</w:t>
            </w:r>
          </w:p>
        </w:tc>
        <w:tc>
          <w:tcPr>
            <w:tcW w:type="dxa" w:w="2721"/>
            <w:shd w:val="clear" w:color="auto" w:fill="F3EFE6"/>
          </w:tcPr>
          <w:p>
            <w:pPr>
              <w:spacing w:after="0" w:before="0"/>
            </w:pPr>
            <w:r/>
            <w:r>
              <w:rPr>
                <w:b w:val="0"/>
                <w:i w:val="0"/>
                <w:color w:val="1A1A1A"/>
                <w:sz w:val="17"/>
              </w:rPr>
              <w:t>DSGVO</w:t>
            </w:r>
          </w:p>
        </w:tc>
        <w:tc>
          <w:tcPr>
            <w:tcW w:type="dxa" w:w="2721"/>
            <w:shd w:val="clear" w:color="auto" w:fill="F3EFE6"/>
          </w:tcPr>
          <w:p>
            <w:pPr>
              <w:spacing w:after="0" w:before="0"/>
            </w:pPr>
            <w:r/>
            <w:r>
              <w:rPr>
                <w:b w:val="0"/>
                <w:i w:val="0"/>
                <w:color w:val="1A1A1A"/>
                <w:sz w:val="17"/>
              </w:rPr>
              <w:t>Datenschutzgesetz</w:t>
            </w:r>
          </w:p>
        </w:tc>
      </w:tr>
      <w:tr>
        <w:trPr>
          <w:cantSplit w:val="true"/>
        </w:trPr>
        <w:tc>
          <w:tcPr>
            <w:tcW w:type="dxa" w:w="1474"/>
          </w:tcPr>
          <w:p>
            <w:pPr>
              <w:spacing w:after="0" w:before="0"/>
            </w:pPr>
            <w:r/>
            <w:r>
              <w:rPr>
                <w:b w:val="0"/>
                <w:i w:val="0"/>
                <w:color w:val="1A1A1A"/>
                <w:sz w:val="17"/>
              </w:rPr>
              <w:t>Einstufung von Nichtkonformitäten</w:t>
            </w:r>
          </w:p>
        </w:tc>
        <w:tc>
          <w:tcPr>
            <w:tcW w:type="dxa" w:w="2721"/>
          </w:tcPr>
          <w:p>
            <w:pPr>
              <w:spacing w:after="0" w:before="0"/>
            </w:pPr>
            <w:r/>
            <w:r>
              <w:rPr>
                <w:b w:val="0"/>
                <w:i w:val="0"/>
                <w:color w:val="1A1A1A"/>
                <w:sz w:val="17"/>
              </w:rPr>
              <w:t>kein Gesetz; Regeln der Stelle nach ISO/IEC 17021-1</w:t>
            </w:r>
          </w:p>
        </w:tc>
        <w:tc>
          <w:tcPr>
            <w:tcW w:type="dxa" w:w="2721"/>
          </w:tcPr>
          <w:p>
            <w:pPr>
              <w:spacing w:after="0" w:before="0"/>
            </w:pPr>
            <w:r/>
            <w:r>
              <w:rPr>
                <w:b w:val="0"/>
                <w:i w:val="0"/>
                <w:color w:val="1A1A1A"/>
                <w:sz w:val="17"/>
              </w:rPr>
              <w:t>ebenso</w:t>
            </w:r>
          </w:p>
        </w:tc>
        <w:tc>
          <w:tcPr>
            <w:tcW w:type="dxa" w:w="2721"/>
          </w:tcPr>
          <w:p>
            <w:pPr>
              <w:spacing w:after="0" w:before="0"/>
            </w:pPr>
            <w:r/>
            <w:r>
              <w:rPr>
                <w:b w:val="0"/>
                <w:i w:val="0"/>
                <w:color w:val="1A1A1A"/>
                <w:sz w:val="17"/>
              </w:rPr>
              <w:t>ebenso</w:t>
            </w:r>
          </w:p>
        </w:tc>
      </w:tr>
    </w:tbl>
    <w:p>
      <w:pPr>
        <w:spacing w:after="40"/>
      </w:pPr>
    </w:p>
    <w:p>
      <w:r>
        <w:rPr>
          <w:b w:val="0"/>
          <w:i w:val="0"/>
          <w:color w:val="5A5A5A"/>
          <w:sz w:val="17"/>
        </w:rPr>
        <w:t>Stand der Tabelle: 23. Oktober 2026, wie im Buch. Die laufende Fassung mit Änderungen nach diesem Stichtag steht in Band8b_Rechtsanker_DACH_laufend.xlsx. Die Tabelle ersetzt keine Prüfung der geltenden Fassung und keine Rechtsberatung im Einzelfall.</w:t>
      </w:r>
    </w:p>
    <w:p>
      <w:r>
        <w:rPr>
          <w:b w:val="0"/>
          <w:i w:val="0"/>
          <w:color w:val="5A5A5A"/>
          <w:sz w:val="17"/>
        </w:rPr>
        <w:t>Quelle: Francesco Dore, Das Steuer und die Lupe, Band 8b «Ein Fest prüfen, solange es stattfindet», Abschnitt 4.7.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4.7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8b · ISO 20121 — Ein Fest prüfen, solange es stattfindet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4.7 — Feststellungen im Abschlussgespräch behandeln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