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4.8</w:t>
      </w:r>
    </w:p>
    <w:p>
      <w:pPr>
        <w:pStyle w:val="Heading1"/>
      </w:pPr>
      <w:r>
        <w:t>Einen Maßnahmenplan für die Zertifizierungsstelle schreiben</w:t>
      </w:r>
    </w:p>
    <w:p>
      <w:pPr>
        <w:spacing w:after="0"/>
      </w:pPr>
      <w:r>
        <w:rPr>
          <w:b w:val="0"/>
          <w:i/>
          <w:color w:val="5A5A5A"/>
        </w:rPr>
        <w:t>Abschnitt 4.8 · Korrekturmassnahmen und ihre Annahme</w:t>
      </w:r>
    </w:p>
    <w:p>
      <w:pPr>
        <w:spacing w:after="160"/>
      </w:pPr>
      <w:r>
        <w:rPr>
          <w:b w:val="0"/>
          <w:i w:val="0"/>
          <w:color w:val="5A5A5A"/>
          <w:sz w:val="18"/>
        </w:rPr>
        <w:t>Modellfall im Buch: Engelberg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Haus nach der Stufe 2 einen Massnahmenplan an die Zertifizierungsstelle schickt: Steht darin, warum es zu jeder Nichtkonformität kam, oder nur, was Sie jetzt tun wollen? Und woran wird die Auditorin erkennen, dass Ihre Massnahme gewirkt hat?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Der zweite Plan zur schweren Nichtkonformität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Teil</w:t>
            </w:r>
          </w:p>
        </w:tc>
        <w:tc>
          <w:tcPr>
            <w:tcW w:type="dxa" w:w="3213"/>
            <w:shd w:val="clear" w:color="auto" w:fill="8C5A2B"/>
          </w:tcPr>
          <w:p>
            <w:pPr>
              <w:spacing w:after="0" w:before="0"/>
            </w:pPr>
            <w:r/>
            <w:r>
              <w:rPr>
                <w:b/>
                <w:i w:val="0"/>
                <w:color w:val="FFFFFF"/>
                <w:sz w:val="18"/>
              </w:rPr>
              <w:t>Inhalt</w:t>
            </w:r>
          </w:p>
        </w:tc>
        <w:tc>
          <w:tcPr>
            <w:tcW w:type="dxa" w:w="3213"/>
            <w:shd w:val="clear" w:color="auto" w:fill="8C5A2B"/>
          </w:tcPr>
          <w:p>
            <w:pPr>
              <w:spacing w:after="0" w:before="0"/>
            </w:pPr>
            <w:r/>
            <w:r>
              <w:rPr>
                <w:b/>
                <w:i w:val="0"/>
                <w:color w:val="FFFFFF"/>
                <w:sz w:val="18"/>
              </w:rPr>
              <w:t>Wer und bis wann</w:t>
            </w:r>
          </w:p>
        </w:tc>
      </w:tr>
      <w:tr>
        <w:trPr>
          <w:cantSplit w:val="true"/>
        </w:trPr>
        <w:tc>
          <w:tcPr>
            <w:tcW w:type="dxa" w:w="3213"/>
          </w:tcPr>
          <w:p>
            <w:pPr>
              <w:spacing w:after="0" w:before="0"/>
            </w:pPr>
            <w:r/>
            <w:r>
              <w:rPr>
                <w:b w:val="0"/>
                <w:i w:val="0"/>
                <w:color w:val="1A1A1A"/>
                <w:sz w:val="18"/>
              </w:rPr>
              <w:t>Korrektur</w:t>
            </w:r>
          </w:p>
        </w:tc>
        <w:tc>
          <w:tcPr>
            <w:tcW w:type="dxa" w:w="3213"/>
          </w:tcPr>
          <w:p>
            <w:pPr>
              <w:spacing w:after="0" w:before="0"/>
            </w:pPr>
            <w:r/>
            <w:r>
              <w:rPr>
                <w:b w:val="0"/>
                <w:i w:val="0"/>
                <w:color w:val="1A1A1A"/>
                <w:sz w:val="18"/>
              </w:rPr>
              <w:t>Rückruf bei den Kunden der Tagungen bis Mitte November; Rampe für die Tagung vom 4. November bereitgestellt</w:t>
            </w:r>
          </w:p>
        </w:tc>
        <w:tc>
          <w:tcPr>
            <w:tcW w:type="dxa" w:w="3213"/>
          </w:tcPr>
          <w:p>
            <w:pPr>
              <w:spacing w:after="0" w:before="0"/>
            </w:pPr>
            <w:r/>
            <w:r>
              <w:rPr>
                <w:b w:val="0"/>
                <w:i w:val="0"/>
                <w:color w:val="1A1A1A"/>
                <w:sz w:val="18"/>
              </w:rPr>
              <w:t>Bankettleiterin; sofort</w:t>
            </w:r>
          </w:p>
        </w:tc>
      </w:tr>
      <w:tr>
        <w:trPr>
          <w:cantSplit w:val="true"/>
        </w:trPr>
        <w:tc>
          <w:tcPr>
            <w:tcW w:type="dxa" w:w="3213"/>
            <w:shd w:val="clear" w:color="auto" w:fill="F3EFE6"/>
          </w:tcPr>
          <w:p>
            <w:pPr>
              <w:spacing w:after="0" w:before="0"/>
            </w:pPr>
            <w:r/>
            <w:r>
              <w:rPr>
                <w:b w:val="0"/>
                <w:i w:val="0"/>
                <w:color w:val="1A1A1A"/>
                <w:sz w:val="18"/>
              </w:rPr>
              <w:t>Ursache</w:t>
            </w:r>
          </w:p>
        </w:tc>
        <w:tc>
          <w:tcPr>
            <w:tcW w:type="dxa" w:w="3213"/>
            <w:shd w:val="clear" w:color="auto" w:fill="F3EFE6"/>
          </w:tcPr>
          <w:p>
            <w:pPr>
              <w:spacing w:after="0" w:before="0"/>
            </w:pPr>
            <w:r/>
            <w:r>
              <w:rPr>
                <w:b w:val="0"/>
                <w:i w:val="0"/>
                <w:color w:val="1A1A1A"/>
                <w:sz w:val="18"/>
              </w:rPr>
              <w:t>Teilnehmerlisten gehen ins Postfach des Verkaufs; Bankettformular entsteht vorher aus der Option; kein Feld, kein Schritt der Weitergabe</w:t>
            </w:r>
          </w:p>
        </w:tc>
        <w:tc>
          <w:tcPr>
            <w:tcW w:type="dxa" w:w="3213"/>
            <w:shd w:val="clear" w:color="auto" w:fill="F3EFE6"/>
          </w:tcPr>
          <w:p>
            <w:pPr>
              <w:spacing w:after="0" w:before="0"/>
            </w:pPr>
            <w:r/>
            <w:r>
              <w:rPr>
                <w:b w:val="0"/>
                <w:i w:val="0"/>
                <w:color w:val="1A1A1A"/>
                <w:sz w:val="18"/>
              </w:rPr>
              <w:t>ermittelt mit Verkauf, Küche, Haustechnik</w:t>
            </w:r>
          </w:p>
        </w:tc>
      </w:tr>
      <w:tr>
        <w:trPr>
          <w:cantSplit w:val="true"/>
        </w:trPr>
        <w:tc>
          <w:tcPr>
            <w:tcW w:type="dxa" w:w="3213"/>
          </w:tcPr>
          <w:p>
            <w:pPr>
              <w:spacing w:after="0" w:before="0"/>
            </w:pPr>
            <w:r/>
            <w:r>
              <w:rPr>
                <w:b w:val="0"/>
                <w:i w:val="0"/>
                <w:color w:val="1A1A1A"/>
                <w:sz w:val="18"/>
              </w:rPr>
              <w:t>Korrekturmassnahme</w:t>
            </w:r>
          </w:p>
        </w:tc>
        <w:tc>
          <w:tcPr>
            <w:tcW w:type="dxa" w:w="3213"/>
          </w:tcPr>
          <w:p>
            <w:pPr>
              <w:spacing w:after="0" w:before="0"/>
            </w:pPr>
            <w:r/>
            <w:r>
              <w:rPr>
                <w:b w:val="0"/>
                <w:i w:val="0"/>
                <w:color w:val="1A1A1A"/>
                <w:sz w:val="18"/>
              </w:rPr>
              <w:t>Feld «besondere Bedürfnisse» im Formular; Listen an ein gemeinsames Bankettpostfach; Tagesbesprechung 48 Stunden vorher mit Küche und Technik</w:t>
            </w:r>
          </w:p>
        </w:tc>
        <w:tc>
          <w:tcPr>
            <w:tcW w:type="dxa" w:w="3213"/>
          </w:tcPr>
          <w:p>
            <w:pPr>
              <w:spacing w:after="0" w:before="0"/>
            </w:pPr>
            <w:r/>
            <w:r>
              <w:rPr>
                <w:b w:val="0"/>
                <w:i w:val="0"/>
                <w:color w:val="1A1A1A"/>
                <w:sz w:val="18"/>
              </w:rPr>
              <w:t>Bankettleiterin, Verkaufsleiterin; bis 10. November</w:t>
            </w:r>
          </w:p>
        </w:tc>
      </w:tr>
      <w:tr>
        <w:trPr>
          <w:cantSplit w:val="true"/>
        </w:trPr>
        <w:tc>
          <w:tcPr>
            <w:tcW w:type="dxa" w:w="3213"/>
            <w:shd w:val="clear" w:color="auto" w:fill="F3EFE6"/>
          </w:tcPr>
          <w:p>
            <w:pPr>
              <w:spacing w:after="0" w:before="0"/>
            </w:pPr>
            <w:r/>
            <w:r>
              <w:rPr>
                <w:b w:val="0"/>
                <w:i w:val="0"/>
                <w:color w:val="1A1A1A"/>
                <w:sz w:val="18"/>
              </w:rPr>
              <w:t>Ähnliche Fälle</w:t>
            </w:r>
          </w:p>
        </w:tc>
        <w:tc>
          <w:tcPr>
            <w:tcW w:type="dxa" w:w="3213"/>
            <w:shd w:val="clear" w:color="auto" w:fill="F3EFE6"/>
          </w:tcPr>
          <w:p>
            <w:pPr>
              <w:spacing w:after="0" w:before="0"/>
            </w:pPr>
            <w:r/>
            <w:r>
              <w:rPr>
                <w:b w:val="0"/>
                <w:i w:val="0"/>
                <w:color w:val="1A1A1A"/>
                <w:sz w:val="18"/>
              </w:rPr>
              <w:t>Hochzeiten und Reisegruppen nehmen denselben Weg; gleiche Regel</w:t>
            </w:r>
          </w:p>
        </w:tc>
        <w:tc>
          <w:tcPr>
            <w:tcW w:type="dxa" w:w="3213"/>
            <w:shd w:val="clear" w:color="auto" w:fill="F3EFE6"/>
          </w:tcPr>
          <w:p>
            <w:pPr>
              <w:spacing w:after="0" w:before="0"/>
            </w:pPr>
            <w:r/>
            <w:r>
              <w:rPr>
                <w:b w:val="0"/>
                <w:i w:val="0"/>
                <w:color w:val="1A1A1A"/>
                <w:sz w:val="18"/>
              </w:rPr>
              <w:t>Verkaufsleiterin; bis 10. November</w:t>
            </w:r>
          </w:p>
        </w:tc>
      </w:tr>
      <w:tr>
        <w:trPr>
          <w:cantSplit w:val="true"/>
        </w:trPr>
        <w:tc>
          <w:tcPr>
            <w:tcW w:type="dxa" w:w="3213"/>
          </w:tcPr>
          <w:p>
            <w:pPr>
              <w:spacing w:after="0" w:before="0"/>
            </w:pPr>
            <w:r/>
            <w:r>
              <w:rPr>
                <w:b w:val="0"/>
                <w:i w:val="0"/>
                <w:color w:val="1A1A1A"/>
                <w:sz w:val="18"/>
              </w:rPr>
              <w:t>Nachweis</w:t>
            </w:r>
          </w:p>
        </w:tc>
        <w:tc>
          <w:tcPr>
            <w:tcW w:type="dxa" w:w="3213"/>
          </w:tcPr>
          <w:p>
            <w:pPr>
              <w:spacing w:after="0" w:before="0"/>
            </w:pPr>
            <w:r/>
            <w:r>
              <w:rPr>
                <w:b w:val="0"/>
                <w:i w:val="0"/>
                <w:color w:val="1A1A1A"/>
                <w:sz w:val="18"/>
              </w:rPr>
              <w:t>Formulare der nächsten acht Tagungen mit Angaben und Kürzel von Küche und Technik; Besuch der Stelle an einer Tagung</w:t>
            </w:r>
          </w:p>
        </w:tc>
        <w:tc>
          <w:tcPr>
            <w:tcW w:type="dxa" w:w="3213"/>
          </w:tcPr>
          <w:p>
            <w:pPr>
              <w:spacing w:after="0" w:before="0"/>
            </w:pPr>
            <w:r/>
            <w:r>
              <w:rPr>
                <w:b w:val="0"/>
                <w:i w:val="0"/>
                <w:color w:val="1A1A1A"/>
                <w:sz w:val="18"/>
              </w:rPr>
              <w:t>Direktor; Besuch Ende November</w:t>
            </w:r>
          </w:p>
        </w:tc>
      </w:tr>
    </w:tbl>
    <w:p>
      <w:pPr>
        <w:spacing w:after="40"/>
      </w:pPr>
    </w:p>
    <w:p>
      <w:pPr>
        <w:pStyle w:val="Heading2"/>
      </w:pPr>
      <w:r>
        <w:t>Praktische Anwendung: einen Massnahmenplan für die Zertifizierungsstelle in sieben Schritten schreiben</w:t>
      </w:r>
    </w:p>
    <w:p>
      <w:pPr>
        <w:tabs>
          <w:tab w:pos="340" w:val="left"/>
        </w:tabs>
        <w:ind w:left="340" w:hanging="340"/>
      </w:pPr>
      <w:r>
        <w:rPr>
          <w:b/>
          <w:color w:val="8C5A2B"/>
        </w:rPr>
        <w:t>1.</w:t>
        <w:tab/>
      </w:r>
      <w:r>
        <w:rPr>
          <w:b/>
        </w:rPr>
        <w:t>Die Frist nutzen, nicht unterbieten.</w:t>
      </w:r>
      <w:r>
        <w:t xml:space="preserve"> Planen Sie die Zeit für die Ursachensuche ein. Ein Plan, der an einem Abend entsteht, ist ein Plan ohne Ursache.</w:t>
      </w:r>
    </w:p>
    <w:p>
      <w:pPr>
        <w:tabs>
          <w:tab w:pos="340" w:val="left"/>
        </w:tabs>
        <w:ind w:left="340" w:hanging="340"/>
      </w:pPr>
      <w:r>
        <w:rPr>
          <w:b/>
          <w:color w:val="8C5A2B"/>
        </w:rPr>
        <w:t>2.</w:t>
        <w:tab/>
      </w:r>
      <w:r>
        <w:rPr>
          <w:b/>
        </w:rPr>
        <w:t>Ein Blatt je Feststellung anlegen.</w:t>
      </w:r>
      <w:r>
        <w:t xml:space="preserve"> Jede Nichtkonformität hat ihre eigene Ursache. Dieselbe Massnahme für alle ist ein Warnzeichen.</w:t>
      </w:r>
    </w:p>
    <w:p>
      <w:pPr>
        <w:tabs>
          <w:tab w:pos="340" w:val="left"/>
        </w:tabs>
        <w:ind w:left="340" w:hanging="340"/>
      </w:pPr>
      <w:r>
        <w:rPr>
          <w:b/>
          <w:color w:val="8C5A2B"/>
        </w:rPr>
        <w:t>3.</w:t>
        <w:tab/>
      </w:r>
      <w:r>
        <w:rPr>
          <w:b/>
        </w:rPr>
        <w:t>Die Korrektur zuerst schreiben.</w:t>
      </w:r>
      <w:r>
        <w:t xml:space="preserve"> Was ist sofort zu beheben, und welche Zahlen, Aussagen oder Zusagen sind seit wann falsch? Berichtigen Sie sie.</w:t>
      </w:r>
    </w:p>
    <w:p>
      <w:pPr>
        <w:tabs>
          <w:tab w:pos="340" w:val="left"/>
        </w:tabs>
        <w:ind w:left="340" w:hanging="340"/>
      </w:pPr>
      <w:r>
        <w:rPr>
          <w:b/>
          <w:color w:val="8C5A2B"/>
        </w:rPr>
        <w:t>4.</w:t>
        <w:tab/>
      </w:r>
      <w:r>
        <w:rPr>
          <w:b/>
        </w:rPr>
        <w:t>Die Ursache mit den Beteiligten suchen.</w:t>
      </w:r>
      <w:r>
        <w:t xml:space="preserve"> Gehen Sie den Weg nach, an dem die Lücke entstand, mit denen, die ihn täglich gehen. Prüfen Sie: Passt die Massnahme nur zu dieser Ursache?</w:t>
      </w:r>
    </w:p>
    <w:p>
      <w:pPr>
        <w:tabs>
          <w:tab w:pos="340" w:val="left"/>
        </w:tabs>
        <w:ind w:left="340" w:hanging="340"/>
      </w:pPr>
      <w:r>
        <w:rPr>
          <w:b/>
          <w:color w:val="8C5A2B"/>
        </w:rPr>
        <w:t>5.</w:t>
        <w:tab/>
      </w:r>
      <w:r>
        <w:rPr>
          <w:b/>
        </w:rPr>
        <w:t>Ähnliche Fälle einbeziehen.</w:t>
      </w:r>
      <w:r>
        <w:t xml:space="preserve"> Wo nimmt dieselbe Information denselben Weg, wo steht dasselbe Gerät, wer tritt als Nächster ein? Die Massnahme reicht so weit wie das Risiko.</w:t>
      </w:r>
    </w:p>
    <w:p>
      <w:pPr>
        <w:tabs>
          <w:tab w:pos="340" w:val="left"/>
        </w:tabs>
        <w:ind w:left="340" w:hanging="340"/>
      </w:pPr>
      <w:r>
        <w:rPr>
          <w:b/>
          <w:color w:val="8C5A2B"/>
        </w:rPr>
        <w:t>6.</w:t>
        <w:tab/>
      </w:r>
      <w:r>
        <w:rPr>
          <w:b/>
        </w:rPr>
        <w:t>Den Nachweis vorher benennen.</w:t>
      </w:r>
      <w:r>
        <w:t xml:space="preserve"> Schreiben Sie, woran man in einigen Wochen sieht, dass die Massnahme wirkt, und wer es zeigt. Bei einer schweren Nichtkonformität fragen Sie, wie die Stelle verifizieren will.</w:t>
      </w:r>
    </w:p>
    <w:p>
      <w:pPr>
        <w:tabs>
          <w:tab w:pos="340" w:val="left"/>
        </w:tabs>
        <w:ind w:left="340" w:hanging="340"/>
      </w:pPr>
      <w:r>
        <w:rPr>
          <w:b/>
          <w:color w:val="8C5A2B"/>
        </w:rPr>
        <w:t>7.</w:t>
        <w:tab/>
      </w:r>
      <w:r>
        <w:rPr>
          <w:b/>
        </w:rPr>
        <w:t>Verantwortliche und Termine eintragen.</w:t>
      </w:r>
      <w:r>
        <w:t xml:space="preserve"> Jede Zeile hat einen Namen und ein Datum. Ein Termin für alles ist kein Termin.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Frist nutzen, nicht unterbieten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Ein Blatt je Feststellung anlegen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Korrektur zuerst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Ursache mit den Beteiligten suchen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Ähnliche Fälle einbeziehen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Den Nachweis vorher benennen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Verantwortliche und Termine eintragen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Nennt Ihr Plan zu jeder Feststellung eine eigene Ursache?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Liegt die Ursache in einem Ablauf, einem Material oder einer Zeit und nicht bei einer Person?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Passt jede Massnahme nur zu ihrer Ursache?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Sie Zahlen und Aussagen berichtigt, die durch die Lücke falsch geworden sind?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Sie geprüft, wo im Haus dieselbe Lücke noch besteht?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jede Massnahme vorher benannt, woran ihre Wirkung zu sehen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Sie, wie die Stelle eine schwere Nichtkonformität verifizieren will?</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Enthalten die Nachweise an die Stelle nur die Daten, die sie sehen muss?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Den Plan nach einem Abend schicken.</w:t>
      </w:r>
      <w:r>
        <w:t xml:space="preserve"> Er ist schnell und ohne Ursache.</w:t>
      </w:r>
    </w:p>
    <w:p>
      <w:pPr>
        <w:tabs>
          <w:tab w:pos="340" w:val="left"/>
        </w:tabs>
        <w:ind w:left="340" w:hanging="340"/>
      </w:pPr>
      <w:r>
        <w:rPr>
          <w:color w:val="8C5A2B"/>
        </w:rPr>
        <w:t>–</w:t>
        <w:tab/>
      </w:r>
      <w:r>
        <w:rPr>
          <w:b/>
        </w:rPr>
        <w:t>Eine Schulung für alles anbieten.</w:t>
      </w:r>
      <w:r>
        <w:t xml:space="preserve"> Sie wirkt nur, wo Wissen oder Können fehlt.</w:t>
      </w:r>
    </w:p>
    <w:p>
      <w:pPr>
        <w:tabs>
          <w:tab w:pos="340" w:val="left"/>
        </w:tabs>
        <w:ind w:left="340" w:hanging="340"/>
      </w:pPr>
      <w:r>
        <w:rPr>
          <w:color w:val="8C5A2B"/>
        </w:rPr>
        <w:t>–</w:t>
        <w:tab/>
      </w:r>
      <w:r>
        <w:rPr>
          <w:b/>
        </w:rPr>
        <w:t>Unprüfbare Wörter schreiben.</w:t>
      </w:r>
      <w:r>
        <w:t xml:space="preserve"> «Sensibilisierung» lässt sich am Stichtag nicht nachsehen.</w:t>
      </w:r>
    </w:p>
    <w:p>
      <w:pPr>
        <w:tabs>
          <w:tab w:pos="340" w:val="left"/>
        </w:tabs>
        <w:ind w:left="340" w:hanging="340"/>
      </w:pPr>
      <w:r>
        <w:rPr>
          <w:color w:val="8C5A2B"/>
        </w:rPr>
        <w:t>–</w:t>
        <w:tab/>
      </w:r>
      <w:r>
        <w:rPr>
          <w:b/>
        </w:rPr>
        <w:t>Die alten Zahlen stehen lassen.</w:t>
      </w:r>
      <w:r>
        <w:t xml:space="preserve"> Eine Massnahme für die Zukunft berichtigt nicht die Kennzahl seit Mai.</w:t>
      </w:r>
    </w:p>
    <w:p>
      <w:pPr>
        <w:tabs>
          <w:tab w:pos="340" w:val="left"/>
        </w:tabs>
        <w:ind w:left="340" w:hanging="340"/>
      </w:pPr>
      <w:r>
        <w:rPr>
          <w:color w:val="8C5A2B"/>
        </w:rPr>
        <w:t>–</w:t>
        <w:tab/>
      </w:r>
      <w:r>
        <w:rPr>
          <w:b/>
        </w:rPr>
        <w:t>Nur den Fall beheben, der gefunden wurde.</w:t>
      </w:r>
      <w:r>
        <w:t xml:space="preserve"> Hochzeiten und Reisegruppen nehmen denselben Weg.</w:t>
      </w:r>
    </w:p>
    <w:p>
      <w:pPr>
        <w:tabs>
          <w:tab w:pos="340" w:val="left"/>
        </w:tabs>
        <w:ind w:left="340" w:hanging="340"/>
      </w:pPr>
      <w:r>
        <w:rPr>
          <w:color w:val="8C5A2B"/>
        </w:rPr>
        <w:t>–</w:t>
        <w:tab/>
      </w:r>
      <w:r>
        <w:rPr>
          <w:b/>
        </w:rPr>
        <w:t>Die Auditorin um die Lösung bitten.</w:t>
      </w:r>
      <w:r>
        <w:t xml:space="preserve"> Sie darf nicht beraten, und eine Massnahme, die sie vorschlägt, könnte sie nicht mehr unbefangen prüfen.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Geplante Schulung aus dem ersten Plan: 27 Personen zu 3 Stunden</w:t>
            </w:r>
          </w:p>
        </w:tc>
        <w:tc>
          <w:tcPr>
            <w:tcW w:type="dxa" w:w="1474"/>
          </w:tcPr>
          <w:p>
            <w:pPr>
              <w:spacing w:after="0" w:before="0"/>
            </w:pPr>
            <w:r/>
            <w:r>
              <w:rPr>
                <w:b w:val="0"/>
                <w:i w:val="0"/>
                <w:color w:val="1A1A1A"/>
                <w:sz w:val="18"/>
              </w:rPr>
              <w:t>81 Stunden</w:t>
            </w:r>
          </w:p>
        </w:tc>
        <w:tc>
          <w:tcPr>
            <w:tcW w:type="dxa" w:w="3175"/>
          </w:tcPr>
          <w:p>
            <w:pPr>
              <w:spacing w:after="0" w:before="0"/>
            </w:pPr>
            <w:r/>
            <w:r>
              <w:rPr>
                <w:b w:val="0"/>
                <w:i w:val="0"/>
                <w:color w:val="1A1A1A"/>
                <w:sz w:val="18"/>
              </w:rPr>
              <w:t>Arbeitszeit; hätte keine Ursache erreicht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Ursachensuche und zweiter Plan</w:t>
            </w:r>
          </w:p>
        </w:tc>
        <w:tc>
          <w:tcPr>
            <w:tcW w:type="dxa" w:w="1474"/>
            <w:shd w:val="clear" w:color="auto" w:fill="F3EFE6"/>
          </w:tcPr>
          <w:p>
            <w:pPr>
              <w:spacing w:after="0" w:before="0"/>
            </w:pPr>
            <w:r/>
            <w:r>
              <w:rPr>
                <w:b w:val="0"/>
                <w:i w:val="0"/>
                <w:color w:val="1A1A1A"/>
                <w:sz w:val="18"/>
              </w:rPr>
              <w:t>9 Stunden</w:t>
            </w:r>
          </w:p>
        </w:tc>
        <w:tc>
          <w:tcPr>
            <w:tcW w:type="dxa" w:w="3175"/>
            <w:shd w:val="clear" w:color="auto" w:fill="F3EFE6"/>
          </w:tcPr>
          <w:p>
            <w:pPr>
              <w:spacing w:after="0" w:before="0"/>
            </w:pPr>
            <w:r/>
            <w:r>
              <w:rPr>
                <w:b w:val="0"/>
                <w:i w:val="0"/>
                <w:color w:val="1A1A1A"/>
                <w:sz w:val="18"/>
              </w:rPr>
              <w:t>Bankettleiterin, Verkaufsleiterin, Haustechniker, Direktor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Prüfgewicht 10 Kilo und Justierung der Waage</w:t>
            </w:r>
          </w:p>
        </w:tc>
        <w:tc>
          <w:tcPr>
            <w:tcW w:type="dxa" w:w="1474"/>
          </w:tcPr>
          <w:p>
            <w:pPr>
              <w:spacing w:after="0" w:before="0"/>
            </w:pPr>
            <w:r/>
            <w:r>
              <w:rPr>
                <w:b w:val="0"/>
                <w:i w:val="0"/>
                <w:color w:val="1A1A1A"/>
                <w:sz w:val="18"/>
              </w:rPr>
              <w:t>CHF 640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Anpassung des Bankettformulars in der Software</w:t>
            </w:r>
          </w:p>
        </w:tc>
        <w:tc>
          <w:tcPr>
            <w:tcW w:type="dxa" w:w="1474"/>
            <w:shd w:val="clear" w:color="auto" w:fill="F3EFE6"/>
          </w:tcPr>
          <w:p>
            <w:pPr>
              <w:spacing w:after="0" w:before="0"/>
            </w:pPr>
            <w:r/>
            <w:r>
              <w:rPr>
                <w:b w:val="0"/>
                <w:i w:val="0"/>
                <w:color w:val="1A1A1A"/>
                <w:sz w:val="18"/>
              </w:rPr>
              <w:t>CHF 1.150</w:t>
            </w:r>
          </w:p>
        </w:tc>
        <w:tc>
          <w:tcPr>
            <w:tcW w:type="dxa" w:w="3175"/>
            <w:shd w:val="clear" w:color="auto" w:fill="F3EFE6"/>
          </w:tcPr>
          <w:p>
            <w:pPr>
              <w:spacing w:after="0" w:before="0"/>
            </w:pPr>
            <w:r/>
            <w:r>
              <w:rPr>
                <w:b w:val="0"/>
                <w:i w:val="0"/>
                <w:color w:val="1A1A1A"/>
                <w:sz w:val="18"/>
              </w:rPr>
              <w:t>einmalig, durch den Anbieter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Besuch der Stelle zur Verifizierung: ein halber Tag</w:t>
            </w:r>
          </w:p>
        </w:tc>
        <w:tc>
          <w:tcPr>
            <w:tcW w:type="dxa" w:w="1474"/>
          </w:tcPr>
          <w:p>
            <w:pPr>
              <w:spacing w:after="0" w:before="0"/>
            </w:pPr>
            <w:r/>
            <w:r>
              <w:rPr>
                <w:b w:val="0"/>
                <w:i w:val="0"/>
                <w:color w:val="1A1A1A"/>
                <w:sz w:val="18"/>
              </w:rPr>
              <w:t>CHF 980</w:t>
            </w:r>
          </w:p>
        </w:tc>
        <w:tc>
          <w:tcPr>
            <w:tcW w:type="dxa" w:w="3175"/>
          </w:tcPr>
          <w:p>
            <w:pPr>
              <w:spacing w:after="0" w:before="0"/>
            </w:pPr>
            <w:r/>
            <w:r>
              <w:rPr>
                <w:b w:val="0"/>
                <w:i w:val="0"/>
                <w:color w:val="1A1A1A"/>
                <w:sz w:val="18"/>
              </w:rPr>
              <w:t>Modellsatz, zuzüglich Reisekosten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Tagesbesprechung 48 Stunden vorher: 15 Minuten, 3 Personen, 110 Veranstaltungen im Jahr</w:t>
            </w:r>
          </w:p>
        </w:tc>
        <w:tc>
          <w:tcPr>
            <w:tcW w:type="dxa" w:w="1474"/>
            <w:shd w:val="clear" w:color="auto" w:fill="F3EFE6"/>
          </w:tcPr>
          <w:p>
            <w:pPr>
              <w:spacing w:after="0" w:before="0"/>
            </w:pPr>
            <w:r/>
            <w:r>
              <w:rPr>
                <w:b w:val="0"/>
                <w:i w:val="0"/>
                <w:color w:val="1A1A1A"/>
                <w:sz w:val="18"/>
              </w:rPr>
              <w:t>rund 83 Stunden</w:t>
            </w:r>
          </w:p>
        </w:tc>
        <w:tc>
          <w:tcPr>
            <w:tcW w:type="dxa" w:w="3175"/>
            <w:shd w:val="clear" w:color="auto" w:fill="F3EFE6"/>
          </w:tcPr>
          <w:p>
            <w:pPr>
              <w:spacing w:after="0" w:before="0"/>
            </w:pPr>
            <w:r/>
            <w:r>
              <w:rPr>
                <w:b w:val="0"/>
                <w:i w:val="0"/>
                <w:color w:val="1A1A1A"/>
                <w:sz w:val="18"/>
              </w:rPr>
              <w:t>jährlich; ersetzt Rückfragen und Nacharbeit</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vergleicht Stunden mit Stunden und Franken mit Franken, nicht das eine mit dem anderen. Die Schulung hätte fast so viele Stunden gekostet wie ein Jahr Tagesbesprechung und hätte nichts geändert. Die Tagesbesprechung kostet jedes Jahr Zeit, aber diese Zeit kauft den Schritt, der im Ablauf fehlte. Die Franken sind einmalig; was eine Teilnehmerin vor der Stufe zur Terrasse für den Kunden aus Basel bedeutet, steht in keiner Zeile.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Reagieren, korrigieren, Folgen, Abhilfe (ISO 20121, 10.2 a)</w:t>
            </w:r>
          </w:p>
        </w:tc>
        <w:tc>
          <w:tcPr>
            <w:tcW w:type="dxa" w:w="3175"/>
          </w:tcPr>
          <w:p>
            <w:pPr>
              <w:spacing w:after="0" w:before="0"/>
            </w:pPr>
            <w:r/>
            <w:r>
              <w:rPr>
                <w:b w:val="0"/>
                <w:i w:val="0"/>
                <w:color w:val="1A1A1A"/>
                <w:sz w:val="18"/>
              </w:rPr>
              <w:t>Rückrufe bei Kunden; Rampe bereitgestellt; Kennzahl seit Mai berichtigt</w:t>
            </w:r>
          </w:p>
        </w:tc>
        <w:tc>
          <w:tcPr>
            <w:tcW w:type="dxa" w:w="3175"/>
          </w:tcPr>
          <w:p>
            <w:pPr>
              <w:spacing w:after="0" w:before="0"/>
            </w:pPr>
            <w:r/>
            <w:r>
              <w:rPr>
                <w:b w:val="0"/>
                <w:i w:val="0"/>
                <w:color w:val="1A1A1A"/>
                <w:sz w:val="18"/>
              </w:rPr>
              <w:t>Methode: Korrektur als eigene Zeile im Plan</w:t>
            </w:r>
          </w:p>
        </w:tc>
      </w:tr>
      <w:tr>
        <w:trPr>
          <w:cantSplit w:val="true"/>
        </w:trPr>
        <w:tc>
          <w:tcPr>
            <w:tcW w:type="dxa" w:w="3288"/>
            <w:shd w:val="clear" w:color="auto" w:fill="F3EFE6"/>
          </w:tcPr>
          <w:p>
            <w:pPr>
              <w:spacing w:after="0" w:before="0"/>
            </w:pPr>
            <w:r/>
            <w:r>
              <w:rPr>
                <w:b w:val="0"/>
                <w:i w:val="0"/>
                <w:color w:val="1A1A1A"/>
                <w:sz w:val="18"/>
              </w:rPr>
              <w:t>Ursachen bewerten (10.2 b)</w:t>
            </w:r>
          </w:p>
        </w:tc>
        <w:tc>
          <w:tcPr>
            <w:tcW w:type="dxa" w:w="3175"/>
            <w:shd w:val="clear" w:color="auto" w:fill="F3EFE6"/>
          </w:tcPr>
          <w:p>
            <w:pPr>
              <w:spacing w:after="0" w:before="0"/>
            </w:pPr>
            <w:r/>
            <w:r>
              <w:rPr>
                <w:b w:val="0"/>
                <w:i w:val="0"/>
                <w:color w:val="1A1A1A"/>
                <w:sz w:val="18"/>
              </w:rPr>
              <w:t>Ursache je Feststellung, mit den Beteiligten ermittelt</w:t>
            </w:r>
          </w:p>
        </w:tc>
        <w:tc>
          <w:tcPr>
            <w:tcW w:type="dxa" w:w="3175"/>
            <w:shd w:val="clear" w:color="auto" w:fill="F3EFE6"/>
          </w:tcPr>
          <w:p>
            <w:pPr>
              <w:spacing w:after="0" w:before="0"/>
            </w:pPr>
            <w:r/>
            <w:r>
              <w:rPr>
                <w:b w:val="0"/>
                <w:i w:val="0"/>
                <w:color w:val="1A1A1A"/>
                <w:sz w:val="18"/>
              </w:rPr>
              <w:t>Methode: Gang der Teilnehmerliste durch das Haus; Prüffrage, ob die Massnahme nur zu dieser Ursache passt</w:t>
            </w:r>
          </w:p>
        </w:tc>
      </w:tr>
      <w:tr>
        <w:trPr>
          <w:cantSplit w:val="true"/>
        </w:trPr>
        <w:tc>
          <w:tcPr>
            <w:tcW w:type="dxa" w:w="3288"/>
          </w:tcPr>
          <w:p>
            <w:pPr>
              <w:spacing w:after="0" w:before="0"/>
            </w:pPr>
            <w:r/>
            <w:r>
              <w:rPr>
                <w:b w:val="0"/>
                <w:i w:val="0"/>
                <w:color w:val="1A1A1A"/>
                <w:sz w:val="18"/>
              </w:rPr>
              <w:t>Massnahmen umsetzen, angemessen; Wirksamkeit prüfen (10.2 c, d)</w:t>
            </w:r>
          </w:p>
        </w:tc>
        <w:tc>
          <w:tcPr>
            <w:tcW w:type="dxa" w:w="3175"/>
          </w:tcPr>
          <w:p>
            <w:pPr>
              <w:spacing w:after="0" w:before="0"/>
            </w:pPr>
            <w:r/>
            <w:r>
              <w:rPr>
                <w:b w:val="0"/>
                <w:i w:val="0"/>
                <w:color w:val="1A1A1A"/>
                <w:sz w:val="18"/>
              </w:rPr>
              <w:t>Feld im Formular, gemeinsames Postfach, Tagesbesprechung; Formulare der nächsten Tagungen</w:t>
            </w:r>
          </w:p>
        </w:tc>
        <w:tc>
          <w:tcPr>
            <w:tcW w:type="dxa" w:w="3175"/>
          </w:tcPr>
          <w:p>
            <w:pPr>
              <w:spacing w:after="0" w:before="0"/>
            </w:pPr>
            <w:r/>
            <w:r>
              <w:rPr>
                <w:b w:val="0"/>
                <w:i w:val="0"/>
                <w:color w:val="1A1A1A"/>
                <w:sz w:val="18"/>
              </w:rPr>
              <w:t>Methode: Nachweis vorher benennen</w:t>
            </w:r>
          </w:p>
        </w:tc>
      </w:tr>
      <w:tr>
        <w:trPr>
          <w:cantSplit w:val="true"/>
        </w:trPr>
        <w:tc>
          <w:tcPr>
            <w:tcW w:type="dxa" w:w="3288"/>
            <w:shd w:val="clear" w:color="auto" w:fill="F3EFE6"/>
          </w:tcPr>
          <w:p>
            <w:pPr>
              <w:spacing w:after="0" w:before="0"/>
            </w:pPr>
            <w:r/>
            <w:r>
              <w:rPr>
                <w:b w:val="0"/>
                <w:i w:val="0"/>
                <w:color w:val="1A1A1A"/>
                <w:sz w:val="18"/>
              </w:rPr>
              <w:t>Stelle: Plan bei geringfügigen Nichtkonformitäten prüfen und akzeptieren (ISO/IEC 17021-1, 9.5.2)</w:t>
            </w:r>
          </w:p>
        </w:tc>
        <w:tc>
          <w:tcPr>
            <w:tcW w:type="dxa" w:w="3175"/>
            <w:shd w:val="clear" w:color="auto" w:fill="F3EFE6"/>
          </w:tcPr>
          <w:p>
            <w:pPr>
              <w:spacing w:after="0" w:before="0"/>
            </w:pPr>
            <w:r/>
            <w:r>
              <w:rPr>
                <w:b w:val="0"/>
                <w:i w:val="0"/>
                <w:color w:val="1A1A1A"/>
                <w:sz w:val="18"/>
              </w:rPr>
              <w:t>Plan mit vier Teilen je Feststellung</w:t>
            </w:r>
          </w:p>
        </w:tc>
        <w:tc>
          <w:tcPr>
            <w:tcW w:type="dxa" w:w="3175"/>
            <w:shd w:val="clear" w:color="auto" w:fill="F3EFE6"/>
          </w:tcPr>
          <w:p>
            <w:pPr>
              <w:spacing w:after="0" w:before="0"/>
            </w:pPr>
            <w:r/>
            <w:r>
              <w:rPr>
                <w:b w:val="0"/>
                <w:i w:val="0"/>
                <w:color w:val="1A1A1A"/>
                <w:sz w:val="18"/>
              </w:rPr>
              <w:t>Methode: ein Blatt je Feststellung</w:t>
            </w:r>
          </w:p>
        </w:tc>
      </w:tr>
      <w:tr>
        <w:trPr>
          <w:cantSplit w:val="true"/>
        </w:trPr>
        <w:tc>
          <w:tcPr>
            <w:tcW w:type="dxa" w:w="3288"/>
          </w:tcPr>
          <w:p>
            <w:pPr>
              <w:spacing w:after="0" w:before="0"/>
            </w:pPr>
            <w:r/>
            <w:r>
              <w:rPr>
                <w:b w:val="0"/>
                <w:i w:val="0"/>
                <w:color w:val="1A1A1A"/>
                <w:sz w:val="18"/>
              </w:rPr>
              <w:t>Stelle: bei schweren Nichtkonformitäten Korrektur und Korrekturmassnahmen vor der Entscheidung verifizieren (9.5.2)</w:t>
            </w:r>
          </w:p>
        </w:tc>
        <w:tc>
          <w:tcPr>
            <w:tcW w:type="dxa" w:w="3175"/>
          </w:tcPr>
          <w:p>
            <w:pPr>
              <w:spacing w:after="0" w:before="0"/>
            </w:pPr>
            <w:r/>
            <w:r>
              <w:rPr>
                <w:b w:val="0"/>
                <w:i w:val="0"/>
                <w:color w:val="1A1A1A"/>
                <w:sz w:val="18"/>
              </w:rPr>
              <w:t>Nachweise; Besuch an einer Tagung</w:t>
            </w:r>
          </w:p>
        </w:tc>
        <w:tc>
          <w:tcPr>
            <w:tcW w:type="dxa" w:w="3175"/>
          </w:tcPr>
          <w:p>
            <w:pPr>
              <w:spacing w:after="0" w:before="0"/>
            </w:pPr>
            <w:r/>
            <w:r>
              <w:rPr>
                <w:b w:val="0"/>
                <w:i w:val="0"/>
                <w:color w:val="1A1A1A"/>
                <w:sz w:val="18"/>
              </w:rPr>
              <w:t>Weg der Verifizierung nach den Regeln der Stelle</w:t>
            </w:r>
          </w:p>
        </w:tc>
      </w:tr>
    </w:tbl>
    <w:p>
      <w:pPr>
        <w:spacing w:after="40"/>
      </w:pPr>
    </w:p>
    <w:p>
      <w:pPr>
        <w:pStyle w:val="Heading2"/>
      </w:pPr>
      <w:r>
        <w:t>DACH-Anker: was der Plan aus Engelberg rechtlich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Teilnehmerlisten mit Angaben zu Ernährung und Mobilität</w:t>
            </w:r>
          </w:p>
        </w:tc>
        <w:tc>
          <w:tcPr>
            <w:tcW w:type="dxa" w:w="2721"/>
          </w:tcPr>
          <w:p>
            <w:pPr>
              <w:spacing w:after="0" w:before="0"/>
            </w:pPr>
            <w:r/>
            <w:r>
              <w:rPr>
                <w:b w:val="0"/>
                <w:i w:val="0"/>
                <w:color w:val="1A1A1A"/>
                <w:sz w:val="17"/>
              </w:rPr>
              <w:t>DSGVO; Angaben, die auf die Gesundheit schliessen lassen, mit besonderer Sorgfalt</w:t>
            </w:r>
          </w:p>
        </w:tc>
        <w:tc>
          <w:tcPr>
            <w:tcW w:type="dxa" w:w="2721"/>
          </w:tcPr>
          <w:p>
            <w:pPr>
              <w:spacing w:after="0" w:before="0"/>
            </w:pPr>
            <w:r/>
            <w:r>
              <w:rPr>
                <w:b w:val="0"/>
                <w:i w:val="0"/>
                <w:color w:val="1A1A1A"/>
                <w:sz w:val="17"/>
              </w:rPr>
              <w:t>DSGVO, ebenso</w:t>
            </w:r>
          </w:p>
        </w:tc>
        <w:tc>
          <w:tcPr>
            <w:tcW w:type="dxa" w:w="2721"/>
          </w:tcPr>
          <w:p>
            <w:pPr>
              <w:spacing w:after="0" w:before="0"/>
            </w:pPr>
            <w:r/>
            <w:r>
              <w:rPr>
                <w:b w:val="0"/>
                <w:i w:val="0"/>
                <w:color w:val="1A1A1A"/>
                <w:sz w:val="17"/>
              </w:rPr>
              <w:t>Datenschutzgesetz, ebenso</w:t>
            </w:r>
          </w:p>
        </w:tc>
      </w:tr>
      <w:tr>
        <w:trPr>
          <w:cantSplit w:val="true"/>
        </w:trPr>
        <w:tc>
          <w:tcPr>
            <w:tcW w:type="dxa" w:w="1474"/>
            <w:shd w:val="clear" w:color="auto" w:fill="F3EFE6"/>
          </w:tcPr>
          <w:p>
            <w:pPr>
              <w:spacing w:after="0" w:before="0"/>
            </w:pPr>
            <w:r/>
            <w:r>
              <w:rPr>
                <w:b w:val="0"/>
                <w:i w:val="0"/>
                <w:color w:val="1A1A1A"/>
                <w:sz w:val="17"/>
              </w:rPr>
              <w:t>Nachweise an die Stelle</w:t>
            </w:r>
          </w:p>
        </w:tc>
        <w:tc>
          <w:tcPr>
            <w:tcW w:type="dxa" w:w="2721"/>
            <w:shd w:val="clear" w:color="auto" w:fill="F3EFE6"/>
          </w:tcPr>
          <w:p>
            <w:pPr>
              <w:spacing w:after="0" w:before="0"/>
            </w:pPr>
            <w:r/>
            <w:r>
              <w:rPr>
                <w:b w:val="0"/>
                <w:i w:val="0"/>
                <w:color w:val="1A1A1A"/>
                <w:sz w:val="17"/>
              </w:rPr>
              <w:t>nur so viele Daten wie nötig; Namen geschwärzt</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ebenso</w:t>
            </w:r>
          </w:p>
        </w:tc>
      </w:tr>
      <w:tr>
        <w:trPr>
          <w:cantSplit w:val="true"/>
        </w:trPr>
        <w:tc>
          <w:tcPr>
            <w:tcW w:type="dxa" w:w="1474"/>
          </w:tcPr>
          <w:p>
            <w:pPr>
              <w:spacing w:after="0" w:before="0"/>
            </w:pPr>
            <w:r/>
            <w:r>
              <w:rPr>
                <w:b w:val="0"/>
                <w:i w:val="0"/>
                <w:color w:val="1A1A1A"/>
                <w:sz w:val="17"/>
              </w:rPr>
              <w:t>Barrierefreiheit</w:t>
            </w:r>
          </w:p>
        </w:tc>
        <w:tc>
          <w:tcPr>
            <w:tcW w:type="dxa" w:w="2721"/>
          </w:tcPr>
          <w:p>
            <w:pPr>
              <w:spacing w:after="0" w:before="0"/>
            </w:pPr>
            <w:r/>
            <w:r>
              <w:rPr>
                <w:b w:val="0"/>
                <w:i w:val="0"/>
                <w:color w:val="1A1A1A"/>
                <w:sz w:val="17"/>
              </w:rPr>
              <w:t>BFSG für Dienstleistungen im elektronischen Geschäftsverkehr seit 28. Juni 2025; Kleinstunternehmen ausgenommen</w:t>
            </w:r>
          </w:p>
        </w:tc>
        <w:tc>
          <w:tcPr>
            <w:tcW w:type="dxa" w:w="2721"/>
          </w:tcPr>
          <w:p>
            <w:pPr>
              <w:spacing w:after="0" w:before="0"/>
            </w:pPr>
            <w:r/>
            <w:r>
              <w:rPr>
                <w:b w:val="0"/>
                <w:i w:val="0"/>
                <w:color w:val="1A1A1A"/>
                <w:sz w:val="17"/>
              </w:rPr>
              <w:t>BaFG seit 28. Juni 2025, auch Buchungsmöglichkeiten von Hotels</w:t>
            </w:r>
          </w:p>
        </w:tc>
        <w:tc>
          <w:tcPr>
            <w:tcW w:type="dxa" w:w="2721"/>
          </w:tcPr>
          <w:p>
            <w:pPr>
              <w:spacing w:after="0" w:before="0"/>
            </w:pPr>
            <w:r/>
            <w:r>
              <w:rPr>
                <w:b w:val="0"/>
                <w:i w:val="0"/>
                <w:color w:val="1A1A1A"/>
                <w:sz w:val="17"/>
              </w:rPr>
              <w:t>Diskriminierungsverbot für Private, die Dienstleistungen öffentlich anbieten (Art. 6 BehiG; Band 8a, 2.9)</w:t>
            </w:r>
          </w:p>
        </w:tc>
      </w:tr>
      <w:tr>
        <w:trPr>
          <w:cantSplit w:val="true"/>
        </w:trPr>
        <w:tc>
          <w:tcPr>
            <w:tcW w:type="dxa" w:w="1474"/>
            <w:shd w:val="clear" w:color="auto" w:fill="F3EFE6"/>
          </w:tcPr>
          <w:p>
            <w:pPr>
              <w:spacing w:after="0" w:before="0"/>
            </w:pPr>
            <w:r/>
            <w:r>
              <w:rPr>
                <w:b w:val="0"/>
                <w:i w:val="0"/>
                <w:color w:val="1A1A1A"/>
                <w:sz w:val="17"/>
              </w:rPr>
              <w:t>Akkreditierung für ISO 20121</w:t>
            </w:r>
          </w:p>
        </w:tc>
        <w:tc>
          <w:tcPr>
            <w:tcW w:type="dxa" w:w="2721"/>
            <w:shd w:val="clear" w:color="auto" w:fill="F3EFE6"/>
          </w:tcPr>
          <w:p>
            <w:pPr>
              <w:spacing w:after="0" w:before="0"/>
            </w:pPr>
            <w:r/>
            <w:r>
              <w:rPr>
                <w:b w:val="0"/>
                <w:i w:val="0"/>
                <w:color w:val="1A1A1A"/>
                <w:sz w:val="17"/>
              </w:rPr>
              <w:t>Antrag bei der DAkkS; Entscheidung stand im September 2026 aus</w:t>
            </w:r>
          </w:p>
        </w:tc>
        <w:tc>
          <w:tcPr>
            <w:tcW w:type="dxa" w:w="2721"/>
            <w:shd w:val="clear" w:color="auto" w:fill="F3EFE6"/>
          </w:tcPr>
          <w:p>
            <w:pPr>
              <w:spacing w:after="0" w:before="0"/>
            </w:pPr>
            <w:r/>
            <w:r>
              <w:rPr>
                <w:b w:val="0"/>
                <w:i w:val="0"/>
                <w:color w:val="1A1A1A"/>
                <w:sz w:val="17"/>
              </w:rPr>
              <w:t>keine akkreditierte Zertifizierung belegt</w:t>
            </w:r>
          </w:p>
        </w:tc>
        <w:tc>
          <w:tcPr>
            <w:tcW w:type="dxa" w:w="2721"/>
            <w:shd w:val="clear" w:color="auto" w:fill="F3EFE6"/>
          </w:tcPr>
          <w:p>
            <w:pPr>
              <w:spacing w:after="0" w:before="0"/>
            </w:pPr>
            <w:r/>
            <w:r>
              <w:rPr>
                <w:b w:val="0"/>
                <w:i w:val="0"/>
                <w:color w:val="1A1A1A"/>
                <w:sz w:val="17"/>
              </w:rPr>
              <w:t>keine akkreditierte Zertifizierung belegt; SAS, Auftritt über das SECO</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4.8.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4.8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4.8 — Einen Maßnahmenplan für die Zertifizierungsstelle schreiben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