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3.1</w:t>
      </w:r>
    </w:p>
    <w:p>
      <w:r>
        <w:rPr>
          <w:b/>
          <w:i w:val="0"/>
          <w:sz w:val="24"/>
        </w:rPr>
        <w:t>Wer prüft, wo jeder alles macht: Unabhängigkeit im kleinen Haus</w:t>
      </w:r>
    </w:p>
    <w:p>
      <w:r>
        <w:rPr>
          <w:b w:val="0"/>
          <w:i/>
          <w:sz w:val="20"/>
        </w:rPr>
        <w:t>Eine unabhängige Prüferin finden: drei Wege, ihre Grenzen und wer welchen Bereich zuletzt selbst geführt 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Wer in Ihrem Haus könnte morgen einen Tag lang Ihre Arbeit prüfen, ohne dabei die eigene zu prüfen? Und wen würden Sie hereinlassen, damit er Ihnen sagt, was er sieht, und nicht, was Sie hören wollen?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Drei Wege zu einer unabhängigen Prüfung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95"/>
        <w:gridCol w:w="2158"/>
        <w:gridCol w:w="2665"/>
        <w:gridCol w:w="2818"/>
      </w:tblGrid>
      <w:tr>
        <w:trPr>
          <w:tblHeader/>
        </w:trPr>
        <w:tc>
          <w:tcPr>
            <w:tcW w:w="19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Weg</w:t>
            </w:r>
          </w:p>
        </w:tc>
        <w:tc>
          <w:tcPr>
            <w:tcW w:w="215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Trägt, wenn</w:t>
            </w:r>
          </w:p>
        </w:tc>
        <w:tc>
          <w:tcPr>
            <w:tcW w:w="266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Grenze</w:t>
            </w:r>
          </w:p>
        </w:tc>
        <w:tc>
          <w:tcPr>
            <w:tcW w:w="281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die Grenze auffängt</w:t>
            </w:r>
          </w:p>
        </w:tc>
      </w:tr>
      <w:tr>
        <w:trPr>
          <w:cantSplit/>
        </w:trPr>
        <w:tc>
          <w:tcPr>
            <w:tcW w:w="19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Familie prüft einander (3.8)</w:t>
            </w:r>
          </w:p>
        </w:tc>
        <w:tc>
          <w:tcPr>
            <w:tcW w:w="215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jemand einen Bereich nie selbst geführt hat</w:t>
            </w:r>
          </w:p>
        </w:tc>
        <w:tc>
          <w:tcPr>
            <w:tcW w:w="266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Rücksicht; wenig fremde Arbeit im kleinen Haus</w:t>
            </w:r>
          </w:p>
        </w:tc>
        <w:tc>
          <w:tcPr>
            <w:tcW w:w="281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nur fremde Bereiche; Feststellung über den Ablauf, nicht über die Person</w:t>
            </w:r>
          </w:p>
        </w:tc>
      </w:tr>
      <w:tr>
        <w:trPr>
          <w:cantSplit/>
        </w:trPr>
        <w:tc>
          <w:tcPr>
            <w:tcW w:w="19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Kreuzaudit mit einem anderen Haus (3.2)</w:t>
            </w:r>
          </w:p>
        </w:tc>
        <w:tc>
          <w:tcPr>
            <w:tcW w:w="21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 Haus ähnlicher Art erreichbar ist</w:t>
            </w:r>
          </w:p>
        </w:tc>
        <w:tc>
          <w:tcPr>
            <w:tcW w:w="26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Wettbewerb, Vertraulichkeit, Rücksicht unter Kollegen</w:t>
            </w:r>
          </w:p>
        </w:tc>
        <w:tc>
          <w:tcPr>
            <w:tcW w:w="281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eine Seite Vereinbarung vor dem ersten Termin</w:t>
            </w:r>
          </w:p>
        </w:tc>
      </w:tr>
      <w:tr>
        <w:trPr>
          <w:cantSplit/>
        </w:trPr>
        <w:tc>
          <w:tcPr>
            <w:tcW w:w="19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Externer Auditor auf Zeit (3.3)</w:t>
            </w:r>
          </w:p>
        </w:tc>
        <w:tc>
          <w:tcPr>
            <w:tcW w:w="215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 Partner da ist oder Fachwissen fehlt</w:t>
            </w:r>
          </w:p>
        </w:tc>
        <w:tc>
          <w:tcPr>
            <w:tcW w:w="266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Kosten; kennt das Haus nicht; Beratung im selben Angebot</w:t>
            </w:r>
          </w:p>
        </w:tc>
        <w:tc>
          <w:tcPr>
            <w:tcW w:w="281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schriftlicher Auftrag; Prüfen und Beraten getrennt</w:t>
            </w:r>
          </w:p>
        </w:tc>
      </w:tr>
    </w:tbl>
    <w:p>
      <w:pPr>
        <w:keepNext/>
        <w:spacing w:before="260" w:after="120"/>
      </w:pPr>
      <w:r>
        <w:rPr>
          <w:b/>
          <w:bCs/>
          <w:color w:val="8C5A2B"/>
          <w:sz w:val="25"/>
          <w:szCs w:val="25"/>
        </w:rPr>
        <w:t xml:space="preserve">Praktische Anwendung: eine unabhängige Prüferin finden in sieben Schritten</w:t>
      </w:r>
    </w:p>
    <w:p>
      <w:pPr>
        <w:spacing w:after="140" w:line="300" w:lineRule="auto"/>
        <w:jc w:val="both"/>
      </w:pPr>
      <w:r>
        <w:rPr>
          <w:b/>
          <w:bCs/>
          <w:color w:val="1A1A1A"/>
        </w:rPr>
        <w:t xml:space="preserve">1. Aufschreiben, wer was selbst gemacht hat.</w:t>
      </w:r>
      <w:r>
        <w:rPr>
          <w:color w:val="1A1A1A"/>
        </w:rPr>
        <w:t xml:space="preserve"> Eine Zeile je Bereich: Frühstück, Küche, Empfang und Gästeverzeichnis, Zimmer, Technik, Mappe. Daneben, wer ihn im letzten Jahr geführt oder vertreten hat. Das dauert eine halbe Stunde am Küchentisch.</w:t>
      </w:r>
    </w:p>
    <w:p>
      <w:pPr>
        <w:spacing w:after="140" w:line="300" w:lineRule="auto"/>
        <w:jc w:val="both"/>
      </w:pPr>
      <w:r>
        <w:rPr>
          <w:b/>
          <w:bCs/>
          <w:color w:val="1A1A1A"/>
        </w:rPr>
        <w:t xml:space="preserve">2. Für jeden Bereich streichen, wer ihn nicht prüfen darf.</w:t>
      </w:r>
      <w:r>
        <w:rPr>
          <w:color w:val="1A1A1A"/>
        </w:rPr>
        <w:t xml:space="preserve"> Wer ihn geführt, vertreten oder entworfen hat, fällt weg. Was übrig bleibt, zeigt, welcher Teil jemanden von außen braucht.</w:t>
      </w:r>
    </w:p>
    <w:p>
      <w:pPr>
        <w:spacing w:after="140" w:line="300" w:lineRule="auto"/>
        <w:jc w:val="both"/>
      </w:pPr>
      <w:r>
        <w:rPr>
          <w:b/>
          <w:bCs/>
          <w:color w:val="1A1A1A"/>
        </w:rPr>
        <w:t xml:space="preserve">3. Die drei Wege nebeneinanderlegen.</w:t>
      </w:r>
      <w:r>
        <w:rPr>
          <w:color w:val="1A1A1A"/>
        </w:rPr>
        <w:t xml:space="preserve"> Familie, Kreuzaudit, Auftrag nach außen, jeder mit seiner Grenze. Wählen Sie den Weg, dessen Grenze Sie am besten auffangen können, nicht den, der keine zu haben scheint.</w:t>
      </w:r>
    </w:p>
    <w:p>
      <w:pPr>
        <w:spacing w:after="140" w:line="300" w:lineRule="auto"/>
        <w:jc w:val="both"/>
      </w:pPr>
      <w:r>
        <w:rPr>
          <w:b/>
          <w:bCs/>
          <w:color w:val="1A1A1A"/>
        </w:rPr>
        <w:t xml:space="preserve">4. Eine Partnerin nach Abstand und Kenntnis wählen.</w:t>
      </w:r>
      <w:r>
        <w:rPr>
          <w:color w:val="1A1A1A"/>
        </w:rPr>
        <w:t xml:space="preserve"> Ein Haus ähnlicher Art und Größe, nah genug für einen Tag, nicht im selben Dorf und nicht um dieselben Gäste. Am besten eines, das selbst ein System führt; dann prüfen Sie einander.</w:t>
      </w:r>
    </w:p>
    <w:p>
      <w:pPr>
        <w:spacing w:after="140" w:line="300" w:lineRule="auto"/>
        <w:jc w:val="both"/>
      </w:pPr>
      <w:r>
        <w:rPr>
          <w:b/>
          <w:bCs/>
          <w:color w:val="1A1A1A"/>
        </w:rPr>
        <w:t xml:space="preserve">5. Eine Seite Vereinbarung schreiben und unterschreiben.</w:t>
      </w:r>
      <w:r>
        <w:rPr>
          <w:color w:val="1A1A1A"/>
        </w:rPr>
        <w:t xml:space="preserve"> Umfang, Termine, was nicht eingesehen wird, Vertraulichkeit, Umgang mit </w:t>
      </w:r>
      <w:r>
        <w:rPr>
          <w:color w:val="1A1A1A"/>
        </w:rPr>
        <w:t xml:space="preserve">Gästedaten, Gegenseitigkeit. Wie die Seite im Einzelnen aussieht, zeigt 3.2. Erst unterschreiben, dann prüfen.</w:t>
      </w:r>
    </w:p>
    <w:p>
      <w:pPr>
        <w:spacing w:after="140" w:line="300" w:lineRule="auto"/>
        <w:jc w:val="both"/>
      </w:pPr>
      <w:r>
        <w:rPr>
          <w:b/>
          <w:bCs/>
          <w:color w:val="1A1A1A"/>
        </w:rPr>
        <w:t xml:space="preserve">6. Die Rolle festlegen: prüfen, nicht beraten.</w:t>
      </w:r>
      <w:r>
        <w:rPr>
          <w:color w:val="1A1A1A"/>
        </w:rPr>
        <w:t xml:space="preserve"> Die Prüferin liefert Nachweise und Feststellungen, Ratschläge kommen nach dem Bericht beim Kaffee. Der Bericht geht an die Inhaberin und hat eine Seite; das ist Methode dieses Buches.</w:t>
      </w:r>
    </w:p>
    <w:p>
      <w:pPr>
        <w:spacing w:after="140" w:line="300" w:lineRule="auto"/>
        <w:jc w:val="both"/>
      </w:pPr>
      <w:r>
        <w:rPr>
          <w:b/>
          <w:bCs/>
          <w:color w:val="1A1A1A"/>
        </w:rPr>
        <w:t xml:space="preserve">7. Den Termin in den laufenden Betrieb legen.</w:t>
      </w:r>
      <w:r>
        <w:rPr>
          <w:color w:val="1A1A1A"/>
        </w:rPr>
        <w:t xml:space="preserve"> Ein Audit sieht nur, was an diesem Tag geschieht. Mindestens eines im Jahr fällt in die Saison, mit Frühstück oder Anreise (3.7). Auch das ist Methode dieses Buches, keine Vorschrift.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aufgeschrieben, wer welchen Bereich im letzten Jahr selbst geführt oder vertreten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Prüft bei uns niemand einen Bereich, in dem er selbst gearbeitet hat?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die drei Wege mit ihren Grenzen verglichen?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unsere Prüferin in unserem Haus nie selbst gearbeitet?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Gibt es eine unterschriebene Vereinbarung vor dem ersten Termin?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festgelegt, welche Gästedaten die Prüferin sieht und welche nicht?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Trennt der Bericht Feststellungen von Ratschlägen?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Liegt mindestens ein Audit im Jahr im laufenden Betrieb?</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Die eigene Arbeit prüfen.</w:t>
      </w:r>
      <w:r>
        <w:rPr>
          <w:color w:val="1A1A1A"/>
        </w:rPr>
        <w:t xml:space="preserve"> Man findet, was man erwartet, und übersieht, was fehlt.</w:t>
      </w:r>
    </w:p>
    <w:p>
      <w:pPr>
        <w:spacing w:after="140" w:line="300" w:lineRule="auto"/>
        <w:jc w:val="both"/>
      </w:pPr>
      <w:r>
        <w:rPr>
          <w:b/>
          <w:bCs/>
          <w:color w:val="1A1A1A"/>
        </w:rPr>
        <w:t xml:space="preserve">Nach Bereichen statt nach Arbeit trennen.</w:t>
      </w:r>
      <w:r>
        <w:rPr>
          <w:color w:val="1A1A1A"/>
        </w:rPr>
        <w:t xml:space="preserve"> Wer sonntags in der Küche hilft, prüft die Küche nicht unabhängig.</w:t>
      </w:r>
    </w:p>
    <w:p>
      <w:pPr>
        <w:spacing w:after="140" w:line="300" w:lineRule="auto"/>
        <w:jc w:val="both"/>
      </w:pPr>
      <w:r>
        <w:rPr>
          <w:b/>
          <w:bCs/>
          <w:color w:val="1A1A1A"/>
        </w:rPr>
        <w:t xml:space="preserve">Den Sohn die Mutter prüfen lassen.</w:t>
      </w:r>
      <w:r>
        <w:rPr>
          <w:color w:val="1A1A1A"/>
        </w:rPr>
        <w:t xml:space="preserve"> Die Rücksicht hält die wichtigsten Befunde zuerst zurück.</w:t>
      </w:r>
    </w:p>
    <w:p>
      <w:pPr>
        <w:spacing w:after="140" w:line="300" w:lineRule="auto"/>
        <w:jc w:val="both"/>
      </w:pPr>
      <w:r>
        <w:rPr>
          <w:b/>
          <w:bCs/>
          <w:color w:val="1A1A1A"/>
        </w:rPr>
        <w:t xml:space="preserve">Fremdheit mit Unabhängigkeit verwechseln.</w:t>
      </w:r>
      <w:r>
        <w:rPr>
          <w:color w:val="1A1A1A"/>
        </w:rPr>
        <w:t xml:space="preserve"> Wer prüft und zugleich Verbesserungen anbietet, ist nicht frei von dem, was er findet.</w:t>
      </w:r>
    </w:p>
    <w:p>
      <w:pPr>
        <w:spacing w:after="140" w:line="300" w:lineRule="auto"/>
        <w:jc w:val="both"/>
      </w:pPr>
      <w:r>
        <w:rPr>
          <w:b/>
          <w:bCs/>
          <w:color w:val="1A1A1A"/>
        </w:rPr>
        <w:t xml:space="preserve">Den Rat in den Bericht schreiben.</w:t>
      </w:r>
      <w:r>
        <w:rPr>
          <w:color w:val="1A1A1A"/>
        </w:rPr>
        <w:t xml:space="preserve"> Dann entscheidet das Vorbild der Nachbarin, nicht der Nachweis aus dem eigenen Haus.</w:t>
      </w:r>
    </w:p>
    <w:p>
      <w:pPr>
        <w:spacing w:after="140" w:line="300" w:lineRule="auto"/>
        <w:jc w:val="both"/>
      </w:pPr>
      <w:r>
        <w:rPr>
          <w:b/>
          <w:bCs/>
          <w:color w:val="1A1A1A"/>
        </w:rPr>
        <w:t xml:space="preserve">Auf die vollkommene Prüferin warten.</w:t>
      </w:r>
      <w:r>
        <w:rPr>
          <w:color w:val="1A1A1A"/>
        </w:rPr>
        <w:t xml:space="preserve"> Jeder Weg hat eine Grenze, und die leere Zeile auf dem Blatt hat die größte.</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Audit in der Wildschönau: 8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Christine als Prüferin, ein Tag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Vorbereitung und Bericht: 4 Std. × € 45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Auditplan und eine Seite Bericht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Fahrt: 2 × 35 km × € 0,50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Annahme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Begleitung des Audits in Alpbach: 5 Std. × € 45 und 4 Std. × € 35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€ 365</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Christine, Elias und Anna im September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Vereinbarung schreiben und abstimmen: 2 Std. × € 45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€ 90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Zum Vergleich: externer Auditor, ein Tag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€ 1.200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Modellsatz, zuzüglich Reise und derselben Begleitung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Das Kreuzaudit kostet die Familie im ersten Jahr € 1.030, fast alles in Stunden, danach € 940. Der Auftrag nach außen kostet € 1.200 bar und dieselbe Begleitung, spart aber Christines Tag in der Wildschönau. Den Ausschlag gab nicht das Geld. In keiner Zeile steht, was Christine an einem Tag in einem fremden Gasthof lernt: wie man ein Haus prüft und wie das eigene von außen aussieht.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9"/>
        <w:gridCol w:w="3269"/>
        <w:gridCol w:w="3098"/>
      </w:tblGrid>
      <w:tr>
        <w:trPr>
          <w:tblHeader/>
        </w:trPr>
        <w:tc>
          <w:tcPr>
            <w:tcW w:w="32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09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Interne Audits in geplanten Abständen (9.2.1)</w:t>
            </w:r>
          </w:p>
        </w:tc>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zwei Termine im Kalender, Februar und September</w:t>
            </w:r>
          </w:p>
        </w:tc>
        <w:tc>
          <w:tcPr>
            <w:tcW w:w="30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mindestens ein Audit im laufenden Betrieb</w:t>
            </w:r>
          </w:p>
        </w:tc>
      </w:tr>
      <w:tr>
        <w:trPr>
          <w:cantSplit/>
        </w:trPr>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Prüfen gegen eigene Anforderungen und Norm, wirksame Verwirklichung (9.2.1)</w:t>
            </w:r>
          </w:p>
        </w:tc>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Pflichtenliste, Stellvertretungsblatt, Allergenliste als Kriterien</w:t>
            </w:r>
          </w:p>
        </w:tc>
        <w:tc>
          <w:tcPr>
            <w:tcW w:w="30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ISO 19011:2026: faktengestützter Ansatz</w:t>
            </w:r>
          </w:p>
        </w:tc>
      </w:tr>
      <w:tr>
        <w:trPr>
          <w:cantSplit/>
        </w:trPr>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Programm, Ziele, Kriterien und Umfang (9.2.2)</w:t>
            </w:r>
          </w:p>
        </w:tc>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eine Seite Vereinbarung mit Bereichen und Terminen</w:t>
            </w:r>
          </w:p>
        </w:tc>
        <w:tc>
          <w:tcPr>
            <w:tcW w:w="30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Kreuzaudit mit schriftlicher Vereinbarung</w:t>
            </w:r>
          </w:p>
        </w:tc>
      </w:tr>
      <w:tr>
        <w:trPr>
          <w:cantSplit/>
        </w:trPr>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Auswahl für Objektivität und Unparteilichkeit (9.2.2)</w:t>
            </w:r>
          </w:p>
        </w:tc>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Liste, wer welchen Bereich selbst geführt hat; Prüferin aus dem Nachbartal</w:t>
            </w:r>
          </w:p>
        </w:tc>
        <w:tc>
          <w:tcPr>
            <w:tcW w:w="30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der ISO: Prüfung durch eine andere Organisation</w:t>
            </w:r>
          </w:p>
        </w:tc>
      </w:tr>
      <w:tr>
        <w:trPr>
          <w:cantSplit/>
        </w:trPr>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Ergebnisse an die zuständige Leitung (9.2.2)</w:t>
            </w:r>
          </w:p>
        </w:tc>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an die Inhaberin</w:t>
            </w:r>
          </w:p>
        </w:tc>
        <w:tc>
          <w:tcPr>
            <w:tcW w:w="30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Bericht von einer Seite</w:t>
            </w:r>
          </w:p>
        </w:tc>
      </w:tr>
      <w:tr>
        <w:trPr>
          <w:cantSplit/>
        </w:trPr>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(9.2.2)</w:t>
            </w:r>
          </w:p>
        </w:tc>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Vereinbarung, Plan und Bericht in der Mappe</w:t>
            </w:r>
          </w:p>
        </w:tc>
        <w:tc>
          <w:tcPr>
            <w:tcW w:w="30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was eine Prüferin aus dem Nachbarhaus berührt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7"/>
        <w:gridCol w:w="2585"/>
        <w:gridCol w:w="2585"/>
        <w:gridCol w:w="2588"/>
      </w:tblGrid>
      <w:tr>
        <w:trPr>
          <w:tblHeader/>
        </w:trPr>
        <w:tc>
          <w:tcPr>
            <w:tcW w:w="18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Pflicht zu einem System</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 allgemeine; Ausnahmen wie § 8 </w:t>
            </w:r>
            <w:r>
              <w:rPr>
                <w:color w:val="1A1A1A"/>
                <w:sz w:val="17"/>
                <w:szCs w:val="17"/>
              </w:rPr>
              <w:t xml:space="preserve">EnEfG über 7,5 GWh</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 allgemeine; große Unternehmen: Energiemanagement oder Energieaudit</w:t>
            </w:r>
          </w:p>
        </w:tc>
        <w:tc>
          <w:tcPr>
            <w:tcW w:w="25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 allgemeine</w:t>
            </w:r>
          </w:p>
        </w:tc>
      </w:tr>
      <w:tr>
        <w:trPr>
          <w:cantSplit/>
        </w:trPr>
        <w:tc>
          <w:tcPr>
            <w:tcW w:w="18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Gästedaten in der Stichprobe</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Rechtsgrundlage nach Art. 6 </w:t>
            </w:r>
            <w:r>
              <w:rPr>
                <w:color w:val="1A1A1A"/>
                <w:sz w:val="17"/>
                <w:szCs w:val="17"/>
              </w:rPr>
              <w:t xml:space="preserve">DSGVO, nur Erforderliches; Meldescheine 1 Jahr (§ 30 BMG)</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 Gästeverzeichnis 7 Jahre</w:t>
            </w:r>
          </w:p>
        </w:tc>
        <w:tc>
          <w:tcPr>
            <w:tcW w:w="25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 Meldung ausländischer Gäste (Art. 16 AIG), Einzelheiten kantonal</w:t>
            </w:r>
          </w:p>
        </w:tc>
      </w:tr>
      <w:tr>
        <w:trPr>
          <w:cantSplit/>
        </w:trPr>
        <w:tc>
          <w:tcPr>
            <w:tcW w:w="18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Gesundheitsangaben von Gästen</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Art. 9 DSGVO; getrennt geführt</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w:t>
            </w:r>
          </w:p>
        </w:tc>
        <w:tc>
          <w:tcPr>
            <w:tcW w:w="25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besonders schützenswerte Personendaten (DSG)</w:t>
            </w:r>
          </w:p>
        </w:tc>
      </w:tr>
      <w:tr>
        <w:trPr>
          <w:cantSplit/>
        </w:trPr>
        <w:tc>
          <w:tcPr>
            <w:tcW w:w="18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Begehung durch Fachleute</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Betreuung nach </w:t>
            </w:r>
            <w:r>
              <w:rPr>
                <w:color w:val="1A1A1A"/>
                <w:sz w:val="17"/>
                <w:szCs w:val="17"/>
              </w:rPr>
              <w:t xml:space="preserve">DGUV Vorschrift 2 der BGN</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AUVAsicher: alle 2 Jahre bei 1 bis 10 Arbeitnehmern</w:t>
            </w:r>
          </w:p>
        </w:tc>
        <w:tc>
          <w:tcPr>
            <w:tcW w:w="25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EKAS 6508; Branchenlösung BL 44</w:t>
            </w:r>
          </w:p>
        </w:tc>
      </w:tr>
      <w:tr>
        <w:trPr>
          <w:cantSplit/>
        </w:trPr>
        <w:tc>
          <w:tcPr>
            <w:tcW w:w="18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Sterne und System</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Hotelstars, Nr. 233: QM-System nach ISO 9001:2015 oder vergleichbar, 10 Punkte</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WKO-Katalog, Nr. 233: 15 Punkte</w:t>
            </w:r>
          </w:p>
        </w:tc>
        <w:tc>
          <w:tcPr>
            <w:tcW w:w="25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HotellerieSuisse, Guesthouse: Audit durch eigene Auditoren, 3 Jahre</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3.1.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