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3.10</w:t>
      </w:r>
    </w:p>
    <w:p>
      <w:r>
        <w:rPr>
          <w:b/>
          <w:i w:val="0"/>
          <w:sz w:val="24"/>
        </w:rPr>
        <w:t>Feststellungen schreiben, die eine Familie liest</w:t>
      </w:r>
    </w:p>
    <w:p>
      <w:r>
        <w:rPr>
          <w:b w:val="0"/>
          <w:i/>
          <w:sz w:val="20"/>
        </w:rPr>
        <w:t>Feststellungen schreiben, die eine Familie liest: Kriterium, Nachweis und Schluss, dazu eine Stärke, die stimmt.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in Ihrem Auditbericht steht, eine Liste sei schlampig geführt: Wer am Familientisch liest dann einen Satz über die Liste, und wer einen Satz über sich selbst? Und könnte jemand anderes mit diesem Satz in der Hand an dieselbe Stelle gehen und sehen, was gesehen wurde?</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Die Feststellung zur Allergenliste in ihren Teilen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5"/>
        <w:gridCol w:w="3431"/>
        <w:gridCol w:w="4320"/>
      </w:tblGrid>
      <w:tr>
        <w:trPr>
          <w:tblHeader/>
        </w:trPr>
        <w:tc>
          <w:tcPr>
            <w:tcW w:w="18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Teil</w:t>
            </w:r>
          </w:p>
        </w:tc>
        <w:tc>
          <w:tcPr>
            <w:tcW w:w="343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 die er beantwortet</w:t>
            </w:r>
          </w:p>
        </w:tc>
        <w:tc>
          <w:tcPr>
            <w:tcW w:w="43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Im Bericht aus Wildhaus</w:t>
            </w:r>
          </w:p>
        </w:tc>
      </w:tr>
      <w:tr>
        <w:trPr>
          <w:cantSplit/>
        </w:trPr>
        <w:tc>
          <w:tcPr>
            <w:tcW w:w="18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Kriterium</w:t>
            </w:r>
          </w:p>
        </w:tc>
        <w:tc>
          <w:tcPr>
            <w:tcW w:w="343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Woran wurde geprüft?</w:t>
            </w:r>
          </w:p>
        </w:tc>
        <w:tc>
          <w:tcPr>
            <w:tcW w:w="43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Ablaufblatt Küche, Festlegung 4: Allergenliste am Tag jeder Änderung nachführen</w:t>
            </w:r>
          </w:p>
        </w:tc>
      </w:tr>
      <w:tr>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Nachweis</w:t>
            </w:r>
          </w:p>
        </w:tc>
        <w:tc>
          <w:tcPr>
            <w:tcW w:w="34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wurde wo und wann gesehen?</w:t>
            </w:r>
          </w:p>
        </w:tc>
        <w:tc>
          <w:tcPr>
            <w:tcW w:w="43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Samstag 11.40 Uhr, Servicestation: Liste 2. Dezember, Karte 19. Dezember, 2 von 16 Gerichten fehlen; Tagesmenüzettel: 3 von 6 Tagen ohne Eintrag</w:t>
            </w:r>
          </w:p>
        </w:tc>
      </w:tr>
      <w:tr>
        <w:trPr>
          <w:cantSplit/>
        </w:trPr>
        <w:tc>
          <w:tcPr>
            <w:tcW w:w="18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Schlussfolgerung</w:t>
            </w:r>
          </w:p>
        </w:tc>
        <w:tc>
          <w:tcPr>
            <w:tcW w:w="343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ergibt der Vergleich, wie weit reicht er?</w:t>
            </w:r>
          </w:p>
        </w:tc>
        <w:tc>
          <w:tcPr>
            <w:tcW w:w="43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Festlegung an zwei Gerichten und drei Tagen nicht erfüllt; Information der Gäste nicht festgestellt</w:t>
            </w:r>
          </w:p>
        </w:tc>
      </w:tr>
      <w:tr>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Art</w:t>
            </w:r>
          </w:p>
        </w:tc>
        <w:tc>
          <w:tcPr>
            <w:tcW w:w="343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Was folgt für das Haus?</w:t>
            </w:r>
          </w:p>
        </w:tc>
        <w:tc>
          <w:tcPr>
            <w:tcW w:w="43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Nichtkonformität; Bearbeitung nach 10.2 (Band 9a, 2.14)</w:t>
            </w:r>
          </w:p>
        </w:tc>
      </w:tr>
      <w:tr>
        <w:trPr>
          <w:cantSplit/>
        </w:trPr>
        <w:tc>
          <w:tcPr>
            <w:tcW w:w="18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Adressat</w:t>
            </w:r>
          </w:p>
        </w:tc>
        <w:tc>
          <w:tcPr>
            <w:tcW w:w="343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Wen spricht der Satz an?</w:t>
            </w:r>
          </w:p>
        </w:tc>
        <w:tc>
          <w:tcPr>
            <w:tcW w:w="43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den Ablauf von der Kartenänderung zur Liste, keinen Namen</w:t>
            </w:r>
          </w:p>
        </w:tc>
      </w:tr>
    </w:tbl>
    <w:p>
      <w:pPr>
        <w:keepNext/>
        <w:spacing w:before="260" w:after="120"/>
      </w:pPr>
      <w:r>
        <w:rPr>
          <w:b/>
          <w:bCs/>
          <w:color w:val="8C5A2B"/>
          <w:sz w:val="25"/>
          <w:szCs w:val="25"/>
        </w:rPr>
        <w:t xml:space="preserve">Praktische Anwendung: Feststellungen für einen Familienbetrieb in sieben Schritten schreiben</w:t>
      </w:r>
    </w:p>
    <w:p>
      <w:pPr>
        <w:spacing w:after="140" w:line="300" w:lineRule="auto"/>
        <w:jc w:val="both"/>
      </w:pPr>
      <w:r>
        <w:rPr>
          <w:b/>
          <w:bCs/>
          <w:color w:val="1A1A1A"/>
        </w:rPr>
        <w:t xml:space="preserve">1. Zuerst das Kriterium hinschreiben.</w:t>
      </w:r>
      <w:r>
        <w:rPr>
          <w:color w:val="1A1A1A"/>
        </w:rPr>
        <w:t xml:space="preserve"> Nennen Sie die Festlegung, den Normabschnitt oder die Pflicht, gegen die Sie geprüft haben. Findet sich keine, wird der Satz eine Frage an die Leitung.</w:t>
      </w:r>
    </w:p>
    <w:p>
      <w:pPr>
        <w:spacing w:after="140" w:line="300" w:lineRule="auto"/>
        <w:jc w:val="both"/>
      </w:pPr>
      <w:r>
        <w:rPr>
          <w:b/>
          <w:bCs/>
          <w:color w:val="1A1A1A"/>
        </w:rPr>
        <w:t xml:space="preserve">2. Den Nachweis mit Ort, Datum und Dokument notieren.</w:t>
      </w:r>
      <w:r>
        <w:rPr>
          <w:color w:val="1A1A1A"/>
        </w:rPr>
        <w:t xml:space="preserve"> Schreiben Sie an Ort und Stelle in den Notizblock, mit Uhrzeit. Was Sie am Abend aus dem Gedächtnis schreiben, ist ein Eindruck.</w:t>
      </w:r>
    </w:p>
    <w:p>
      <w:pPr>
        <w:spacing w:after="140" w:line="300" w:lineRule="auto"/>
        <w:jc w:val="both"/>
      </w:pPr>
      <w:r>
        <w:rPr>
          <w:b/>
          <w:bCs/>
          <w:color w:val="1A1A1A"/>
        </w:rPr>
        <w:t xml:space="preserve">3. Jeden Satz auf Charakterwörter prüfen.</w:t>
      </w:r>
      <w:r>
        <w:rPr>
          <w:color w:val="1A1A1A"/>
        </w:rPr>
        <w:t xml:space="preserve"> Streichen Sie «schlampig», «nachlässig», «vorbildlich», «herzlich» und setzen Sie die Zahl dafür ein. Bleibt keine Zahl, bleibt kein Befund.</w:t>
      </w:r>
    </w:p>
    <w:p>
      <w:pPr>
        <w:spacing w:after="140" w:line="300" w:lineRule="auto"/>
        <w:jc w:val="both"/>
      </w:pPr>
      <w:r>
        <w:rPr>
          <w:b/>
          <w:bCs/>
          <w:color w:val="1A1A1A"/>
        </w:rPr>
        <w:t xml:space="preserve">4. Den Ablauf ansprechen, nicht die Person.</w:t>
      </w:r>
      <w:r>
        <w:rPr>
          <w:color w:val="1A1A1A"/>
        </w:rPr>
        <w:t xml:space="preserve"> Schreiben Sie, welcher Schritt eine Festlegung verfehlt. Wer ihn macht, weiss die Familie ohnehin; im Satz steht es nicht.</w:t>
      </w:r>
    </w:p>
    <w:p>
      <w:pPr>
        <w:spacing w:after="140" w:line="300" w:lineRule="auto"/>
        <w:jc w:val="both"/>
      </w:pPr>
      <w:r>
        <w:rPr>
          <w:b/>
          <w:bCs/>
          <w:color w:val="1A1A1A"/>
        </w:rPr>
        <w:t xml:space="preserve">5. Den Schluss auf das Gesehene begrenzen.</w:t>
      </w:r>
      <w:r>
        <w:rPr>
          <w:color w:val="1A1A1A"/>
        </w:rPr>
        <w:t xml:space="preserve"> Zwei Gerichte tragen einen Satz über zwei Gerichte. Schreiben Sie dazu, was Sie nicht geprüft haben.</w:t>
      </w:r>
    </w:p>
    <w:p>
      <w:pPr>
        <w:spacing w:after="140" w:line="300" w:lineRule="auto"/>
        <w:jc w:val="both"/>
      </w:pPr>
      <w:r>
        <w:rPr>
          <w:b/>
          <w:bCs/>
          <w:color w:val="1A1A1A"/>
        </w:rPr>
        <w:t xml:space="preserve">6. Eine Stärke suchen, die stimmt.</w:t>
      </w:r>
      <w:r>
        <w:rPr>
          <w:color w:val="1A1A1A"/>
        </w:rPr>
        <w:t xml:space="preserve"> Mit Kriterium und Nachweis, wie jede andere Feststellung. Eine Stärke zum Trost ist schlimmer als keine.</w:t>
      </w:r>
    </w:p>
    <w:p>
      <w:pPr>
        <w:spacing w:after="140" w:line="300" w:lineRule="auto"/>
        <w:jc w:val="both"/>
      </w:pPr>
      <w:r>
        <w:rPr>
          <w:b/>
          <w:bCs/>
          <w:color w:val="1A1A1A"/>
        </w:rPr>
        <w:t xml:space="preserve">7. Die Tatsachen erst mit dem Bereich, dann mit der Leitung besprechen.</w:t>
      </w:r>
      <w:r>
        <w:rPr>
          <w:color w:val="1A1A1A"/>
        </w:rPr>
        <w:t xml:space="preserve"> Getrennt, nicht am Familientisch. Der Bereich bestätigt oder widerlegt die Tatsachen; zustimmen muss er dem Schluss nicht.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Nennt jede Feststellung in unserem letzten Bericht ihr Kriterium?</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Könnte ein Dritter jeden Nachweis an Ort, Tag und Dokument wiederfinden?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der Bericht frei von Wörtern über Sorgfalt oder Charakter?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Richtet sich jede Feststellung an einen Ablauf und nennt keinen Namen?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Sagt jede Schlussfolgerung, wie weit sie reicht?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jede Stärke ein Kriterium und einen Nachweis?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Stehen Fragen an die Leitung getrennt von den Feststellungen?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der Bereich die Tatsachen gehört, bevor die Leitung den Bericht las?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Ein Charakterwort statt einer Zahl schreiben.</w:t>
      </w:r>
      <w:r>
        <w:rPr>
          <w:color w:val="1A1A1A"/>
        </w:rPr>
        <w:t xml:space="preserve"> Der Betroffene verteidigt seine Ehre, und die Liste bleibt, wie sie ist.</w:t>
      </w:r>
    </w:p>
    <w:p>
      <w:pPr>
        <w:spacing w:after="140" w:line="300" w:lineRule="auto"/>
        <w:jc w:val="both"/>
      </w:pPr>
      <w:r>
        <w:rPr>
          <w:b/>
          <w:bCs/>
          <w:color w:val="1A1A1A"/>
        </w:rPr>
        <w:t xml:space="preserve">Den Namen in den Satz setzen.</w:t>
      </w:r>
      <w:r>
        <w:rPr>
          <w:color w:val="1A1A1A"/>
        </w:rPr>
        <w:t xml:space="preserve"> Aus dem Befund wird ein Auftrag unter Verwandten, und der Ablauf dahinter bleibt unsichtbar.</w:t>
      </w:r>
    </w:p>
    <w:p>
      <w:pPr>
        <w:spacing w:after="140" w:line="300" w:lineRule="auto"/>
        <w:jc w:val="both"/>
      </w:pPr>
      <w:r>
        <w:rPr>
          <w:b/>
          <w:bCs/>
          <w:color w:val="1A1A1A"/>
        </w:rPr>
        <w:t xml:space="preserve">Den eigenen Geschmack zum Kriterium machen.</w:t>
      </w:r>
      <w:r>
        <w:rPr>
          <w:color w:val="1A1A1A"/>
        </w:rPr>
        <w:t xml:space="preserve"> Zu viele Ordner gibt es nur, wenn das Haus eine Zahl festgelegt hat.</w:t>
      </w:r>
    </w:p>
    <w:p>
      <w:pPr>
        <w:spacing w:after="140" w:line="300" w:lineRule="auto"/>
        <w:jc w:val="both"/>
      </w:pPr>
      <w:r>
        <w:rPr>
          <w:b/>
          <w:bCs/>
          <w:color w:val="1A1A1A"/>
        </w:rPr>
        <w:t xml:space="preserve">Leere Zeilen nicht nachzählen.</w:t>
      </w:r>
      <w:r>
        <w:rPr>
          <w:color w:val="1A1A1A"/>
        </w:rPr>
        <w:t xml:space="preserve"> Ruhetage sehen auf einer Liste aus wie Lücken.</w:t>
      </w:r>
    </w:p>
    <w:p>
      <w:pPr>
        <w:spacing w:after="140" w:line="300" w:lineRule="auto"/>
        <w:jc w:val="both"/>
      </w:pPr>
      <w:r>
        <w:rPr>
          <w:b/>
          <w:bCs/>
          <w:color w:val="1A1A1A"/>
        </w:rPr>
        <w:t xml:space="preserve">Eine Stärke zum Trost erfinden.</w:t>
      </w:r>
      <w:r>
        <w:rPr>
          <w:color w:val="1A1A1A"/>
        </w:rPr>
        <w:t xml:space="preserve"> Die Familie merkt es, und sie glaubt dann auch den Nichtkonformitäten weniger.</w:t>
      </w:r>
    </w:p>
    <w:p>
      <w:pPr>
        <w:spacing w:after="140" w:line="300" w:lineRule="auto"/>
        <w:jc w:val="both"/>
      </w:pPr>
      <w:r>
        <w:rPr>
          <w:b/>
          <w:bCs/>
          <w:color w:val="1A1A1A"/>
        </w:rPr>
        <w:t xml:space="preserve">Den Entwurf am Familientisch vorlesen.</w:t>
      </w:r>
      <w:r>
        <w:rPr>
          <w:color w:val="1A1A1A"/>
        </w:rPr>
        <w:t xml:space="preserve"> Mutter und Sohn hören dann ein Urteil übereinander, bevor einer von beiden die Tatsachen prüfen konnte.</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Kreuzaudit: 8 Std. × CHF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Auditorin; Gegenseitigkeit statt Rechnung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Erster Entwurf am Stammtisch: 3 Std. × CHF 55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165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Stunden aller drei zusammen; ohne Ergebnis</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Feststellungen neu geschrieben: 2 Std. × CHF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110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Tatsachen mit Küche und Gastgeberin: 3 Personen × 1 Std. × CHF 55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165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getrennt: Küche eine Stunde, Gastgeberin eine halbe, je zu zweit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Allergenliste nachführen, Weg von der Kartenänderung zur Küche: 3 Std. × CHF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165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Küche und Büro</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Schilder für Kuchen und Tagesmenü</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60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Material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kommt auf CHF 1.105, alle Stunden mit demselben Stundenwert der Annahme bewertet. Die unnötigste Zeile ist der Abend am Stammtisch: CHF 165 für ein Gespräch, das nichts geändert hat ausser der Stimmung zwischen Mutter und Sohn. Die zwei Stunden für das Neuschreiben haben weniger gekostet. Was eine falsche Allergenauskunft an einem Gast kosten kann, beziffert das Buch nicht.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82"/>
        <w:gridCol w:w="3226"/>
        <w:gridCol w:w="3229"/>
      </w:tblGrid>
      <w:tr>
        <w:trPr>
          <w:tblHeader/>
        </w:trPr>
        <w:tc>
          <w:tcPr>
            <w:tcW w:w="318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2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1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Konformität mit eigenen Anforderungen und Norm prüfen (9.2)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Ablaufblatt mit acht Festlegungen als Kriterien im Auditplan</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Kriterium in jeder Feststellung nennen</w:t>
            </w:r>
          </w:p>
        </w:tc>
      </w:tr>
      <w:tr>
        <w:trPr>
          <w:cantSplit/>
        </w:trPr>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Kriterien und Umfang je Audit (9.2.2)</w:t>
            </w:r>
          </w:p>
        </w:tc>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Auditplan: Mittagsservice, Frühstück, Unterlagen</w:t>
            </w:r>
          </w:p>
        </w:tc>
        <w:tc>
          <w:tcPr>
            <w:tcW w:w="32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Reichweite in jedem Schluss nennen</w:t>
            </w:r>
          </w:p>
        </w:tc>
      </w:tr>
      <w:tr>
        <w:trPr>
          <w:cantSplit/>
        </w:trPr>
        <w:tc>
          <w:tcPr>
            <w:tcW w:w="31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Objektivität und Unparteilichkeit (9.2.2)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Kreuzaudit mit dem Gasthaus im Nachbardorf</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Integrität, sachliche Darstellung</w:t>
            </w:r>
          </w:p>
        </w:tc>
      </w:tr>
      <w:tr>
        <w:trPr>
          <w:cantSplit/>
        </w:trPr>
        <w:tc>
          <w:tcPr>
            <w:tcW w:w="318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2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an die Gastgeberin mit vier Feststellungen</w:t>
            </w:r>
          </w:p>
        </w:tc>
        <w:tc>
          <w:tcPr>
            <w:tcW w:w="322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Tatsachen zuerst mit dem Bereich klären</w:t>
            </w:r>
          </w:p>
        </w:tc>
      </w:tr>
      <w:tr>
        <w:trPr>
          <w:cantSplit/>
        </w:trPr>
        <w:tc>
          <w:tcPr>
            <w:tcW w:w="318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Nichtkonformitäten bearbeiten (10.2)</w:t>
            </w:r>
          </w:p>
        </w:tc>
        <w:tc>
          <w:tcPr>
            <w:tcW w:w="32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Blatt je Nichtkonformität im Register</w:t>
            </w:r>
          </w:p>
        </w:tc>
        <w:tc>
          <w:tcPr>
            <w:tcW w:w="322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Handbuch der ISO für kleine Unternehmen: Schwächen berichten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wenn eine Feststellung Recht oder Personen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34"/>
        <w:gridCol w:w="2567"/>
        <w:gridCol w:w="2567"/>
        <w:gridCol w:w="2569"/>
      </w:tblGrid>
      <w:tr>
        <w:trPr>
          <w:tblHeader/>
        </w:trPr>
        <w:tc>
          <w:tcPr>
            <w:tcW w:w="19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Allergene bei offener Ware</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mit Aufzeichnung der Zutaten und sichtbarem Hinweis (§ 4 LMIDV)</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 oder mündlich durch geschulte Person (BGBl. II Nr. 175/2014)</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Hinweis auf mündliche Auskunft; schriftliche Fassung für das Personal oder stets fachkundige Person (Art. 5 LIV)</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Umfang der schriftlichen Hygieneregeln</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der Art und Grösse angemessen (Art. 5 Abs. 2 g VO 852/2004)</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Leitlinie GVG: sehr kleine Betriebe regeln weniger schriftlich, ausser bei Risikogruppen</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Allergie eines Gastes im Nachweis</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Gesundheitsdaten: Art. 6 und Art. 9 DSGVO</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besonders schützenswerte Personendaten nach DSG</w:t>
            </w:r>
          </w:p>
        </w:tc>
      </w:tr>
      <w:tr>
        <w:trPr>
          <w:cantSplit/>
        </w:trPr>
        <w:tc>
          <w:tcPr>
            <w:tcW w:w="19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Namen im Bericht</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im erforderlichen Umfang</w:t>
            </w:r>
          </w:p>
        </w:tc>
        <w:tc>
          <w:tcPr>
            <w:tcW w:w="256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w:t>
            </w:r>
          </w:p>
        </w:tc>
      </w:tr>
      <w:tr>
        <w:trPr>
          <w:cantSplit/>
        </w:trPr>
        <w:tc>
          <w:tcPr>
            <w:tcW w:w="19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 über einen Rechtsverstoss</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Behörde; die Auditorin bewertet Nachweise gegen Kriterien</w:t>
            </w:r>
          </w:p>
        </w:tc>
        <w:tc>
          <w:tcPr>
            <w:tcW w:w="256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 kantonaler Vollzug</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3.10.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