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3.11</w:t>
      </w:r>
    </w:p>
    <w:p>
      <w:r>
        <w:rPr>
          <w:b/>
          <w:i w:val="0"/>
          <w:sz w:val="24"/>
        </w:rPr>
        <w:t>Ursachen in einem Haus ohne Abteilungen</w:t>
      </w:r>
    </w:p>
    <w:p>
      <w:r>
        <w:rPr>
          <w:b w:val="0"/>
          <w:i/>
          <w:sz w:val="20"/>
        </w:rPr>
        <w:t>Eine wiederkehrende Abweichung auf ihre Ursache im Ablauf zurückführen, mit ähnlichen Fällen.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Steht in Ihrem Register eine Abweichung, die schon zum dritten Mal «erledigt» ist? Und wenn Sie fünfmal hintereinander fragen, warum sie wiederkommt: Bei wem endet die Kette?</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Die Warum-Kette aus Ahlbeck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39"/>
        <w:gridCol w:w="4030"/>
        <w:gridCol w:w="2067"/>
      </w:tblGrid>
      <w:tr>
        <w:trPr>
          <w:tblHeader/>
        </w:trPr>
        <w:tc>
          <w:tcPr>
            <w:tcW w:w="353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403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Antwort</w:t>
            </w:r>
          </w:p>
        </w:tc>
        <w:tc>
          <w:tcPr>
            <w:tcW w:w="206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Wo die Antwort liegt</w:t>
            </w:r>
          </w:p>
        </w:tc>
      </w:tr>
      <w:tr>
        <w:trPr>
          <w:cantSplit/>
        </w:trPr>
        <w:tc>
          <w:tcPr>
            <w:tcW w:w="353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Warum waren Zimmer 9 und 12 um 15 Uhr nicht fertig?</w:t>
            </w:r>
          </w:p>
        </w:tc>
        <w:tc>
          <w:tcPr>
            <w:tcW w:w="40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Die Wechselzimmer wurden erst ab 11.05 Uhr gemacht.</w:t>
            </w:r>
          </w:p>
        </w:tc>
        <w:tc>
          <w:tcPr>
            <w:tcW w:w="20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Zeit</w:t>
            </w:r>
          </w:p>
        </w:tc>
      </w:tr>
      <w:tr>
        <w:trPr>
          <w:cantSplit/>
        </w:trPr>
        <w:tc>
          <w:tcPr>
            <w:tcW w:w="35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Warum erst ab 11.05 Uhr?</w:t>
            </w:r>
          </w:p>
        </w:tc>
        <w:tc>
          <w:tcPr>
            <w:tcW w:w="40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Erst dann kam die Freigabe.</w:t>
            </w:r>
          </w:p>
        </w:tc>
        <w:tc>
          <w:tcPr>
            <w:tcW w:w="20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Ablauf</w:t>
            </w:r>
          </w:p>
        </w:tc>
      </w:tr>
      <w:tr>
        <w:trPr>
          <w:cantSplit/>
        </w:trPr>
        <w:tc>
          <w:tcPr>
            <w:tcW w:w="353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Warum erst dann?</w:t>
            </w:r>
          </w:p>
        </w:tc>
        <w:tc>
          <w:tcPr>
            <w:tcW w:w="40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Die Inhaberin gibt selbst frei, nach Frühstück und Rechnungen.</w:t>
            </w:r>
          </w:p>
        </w:tc>
        <w:tc>
          <w:tcPr>
            <w:tcW w:w="20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Ablaufblatt, Punkt 3</w:t>
            </w:r>
          </w:p>
        </w:tc>
      </w:tr>
      <w:tr>
        <w:trPr>
          <w:cantSplit/>
        </w:trPr>
        <w:tc>
          <w:tcPr>
            <w:tcW w:w="35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Warum gibt nur sie frei?</w:t>
            </w:r>
          </w:p>
        </w:tc>
        <w:tc>
          <w:tcPr>
            <w:tcW w:w="40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Regel nach einem Vorfall vor drei Jahren; nur sie sieht, wer abgereist ist.</w:t>
            </w:r>
          </w:p>
        </w:tc>
        <w:tc>
          <w:tcPr>
            <w:tcW w:w="20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Festlegung und Information</w:t>
            </w:r>
          </w:p>
        </w:tc>
      </w:tr>
      <w:tr>
        <w:trPr>
          <w:cantSplit/>
        </w:trPr>
        <w:tc>
          <w:tcPr>
            <w:tcW w:w="353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Warum sieht nur sie es?</w:t>
            </w:r>
          </w:p>
        </w:tc>
        <w:tc>
          <w:tcPr>
            <w:tcW w:w="403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Alle Abreisen laufen über den Empfang, und der Empfang ist sie.</w:t>
            </w:r>
          </w:p>
        </w:tc>
        <w:tc>
          <w:tcPr>
            <w:tcW w:w="20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Bauart des kleinen Hauses</w:t>
            </w:r>
          </w:p>
        </w:tc>
      </w:tr>
      <w:tr>
        <w:trPr>
          <w:cantSplit/>
        </w:trPr>
        <w:tc>
          <w:tcPr>
            <w:tcW w:w="353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Ursache</w:t>
            </w:r>
          </w:p>
        </w:tc>
        <w:tc>
          <w:tcPr>
            <w:tcW w:w="403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Die Freigabe hängt an einer Person, die zur selben Zeit an anderer Stelle gebunden ist.</w:t>
            </w:r>
          </w:p>
        </w:tc>
        <w:tc>
          <w:tcPr>
            <w:tcW w:w="20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änderbar durch das Haus</w:t>
            </w:r>
          </w:p>
        </w:tc>
      </w:tr>
    </w:tbl>
    <w:p>
      <w:pPr>
        <w:keepNext/>
        <w:spacing w:before="260" w:after="120"/>
      </w:pPr>
      <w:r>
        <w:rPr>
          <w:b/>
          <w:bCs/>
          <w:color w:val="8C5A2B"/>
          <w:sz w:val="25"/>
          <w:szCs w:val="25"/>
        </w:rPr>
        <w:t xml:space="preserve">Praktische Anwendung: eine wiederkehrende Abweichung in sieben Schritten auf ihre Ursache zurückführen</w:t>
      </w:r>
    </w:p>
    <w:p>
      <w:pPr>
        <w:spacing w:after="140" w:line="300" w:lineRule="auto"/>
        <w:jc w:val="both"/>
      </w:pPr>
      <w:r>
        <w:rPr>
          <w:b/>
          <w:bCs/>
          <w:color w:val="1A1A1A"/>
        </w:rPr>
        <w:t xml:space="preserve">1. Alle Blätter zur selben Abweichung nebeneinanderlegen.</w:t>
      </w:r>
      <w:r>
        <w:rPr>
          <w:color w:val="1A1A1A"/>
        </w:rPr>
        <w:t xml:space="preserve"> Audit, Beschwerden, Notizen, auch die erledigten. Drei Blätter mit demselben Inhalt sind ein Ablauf, kein Zufall.</w:t>
      </w:r>
    </w:p>
    <w:p>
      <w:pPr>
        <w:spacing w:after="140" w:line="300" w:lineRule="auto"/>
        <w:jc w:val="both"/>
      </w:pPr>
      <w:r>
        <w:rPr>
          <w:b/>
          <w:bCs/>
          <w:color w:val="1A1A1A"/>
        </w:rPr>
        <w:t xml:space="preserve">2. Den Ablauf an einem echten Tag beobachten.</w:t>
      </w:r>
      <w:r>
        <w:rPr>
          <w:color w:val="1A1A1A"/>
        </w:rPr>
        <w:t xml:space="preserve"> Notieren Sie Uhrzeiten, nicht Eindrücke: wann wer anfängt, wartet, fertig ist. Ein Vormittag genügt, wenn es der richtige ist.</w:t>
      </w:r>
    </w:p>
    <w:p>
      <w:pPr>
        <w:spacing w:after="140" w:line="300" w:lineRule="auto"/>
        <w:jc w:val="both"/>
      </w:pPr>
      <w:r>
        <w:rPr>
          <w:b/>
          <w:bCs/>
          <w:color w:val="1A1A1A"/>
        </w:rPr>
        <w:t xml:space="preserve">3. Fünfmal Warum fragen, schriftlich.</w:t>
      </w:r>
      <w:r>
        <w:rPr>
          <w:color w:val="1A1A1A"/>
        </w:rPr>
        <w:t xml:space="preserve"> Hören Sie nicht bei einer Eigenschaft eines Menschen auf. Hören Sie bei einer Stelle auf, die das Haus festgelegt hat und ändern kann.</w:t>
      </w:r>
    </w:p>
    <w:p>
      <w:pPr>
        <w:spacing w:after="140" w:line="300" w:lineRule="auto"/>
        <w:jc w:val="both"/>
      </w:pPr>
      <w:r>
        <w:rPr>
          <w:b/>
          <w:bCs/>
          <w:color w:val="1A1A1A"/>
        </w:rPr>
        <w:t xml:space="preserve">4. Den letzten Schritt aussprechen, auch wenn er bei Ihnen liegt.</w:t>
      </w:r>
      <w:r>
        <w:rPr>
          <w:color w:val="1A1A1A"/>
        </w:rPr>
        <w:t xml:space="preserve"> Bitten Sie den Kreuzauditor oder eine Vertraute, die Fragen zu stellen. Die Antworten schreiben Sie.</w:t>
      </w:r>
    </w:p>
    <w:p>
      <w:pPr>
        <w:spacing w:after="140" w:line="300" w:lineRule="auto"/>
        <w:jc w:val="both"/>
      </w:pPr>
      <w:r>
        <w:rPr>
          <w:b/>
          <w:bCs/>
          <w:color w:val="1A1A1A"/>
        </w:rPr>
        <w:t xml:space="preserve">5. Fragen, wer noch auf dieselbe Person wartet.</w:t>
      </w:r>
      <w:r>
        <w:rPr>
          <w:color w:val="1A1A1A"/>
        </w:rPr>
        <w:t xml:space="preserve"> Lieferungen, Wäsche, Telefon, Rechnungen: Was hängt zur selben Zeit an Ihnen? Eine halbe Stunde Suche genügt meist.</w:t>
      </w:r>
    </w:p>
    <w:p>
      <w:pPr>
        <w:spacing w:after="140" w:line="300" w:lineRule="auto"/>
        <w:jc w:val="both"/>
      </w:pPr>
      <w:r>
        <w:rPr>
          <w:b/>
          <w:bCs/>
          <w:color w:val="1A1A1A"/>
        </w:rPr>
        <w:t xml:space="preserve">6. Die Maßnahme gegen die Ursache richten und ihre Folgen prüfen.</w:t>
      </w:r>
      <w:r>
        <w:rPr>
          <w:color w:val="1A1A1A"/>
        </w:rPr>
        <w:t xml:space="preserve"> Ändern Sie den Ablauf, nicht den Eifer. Fragen Sie, wem die Änderung eine neue Aufgabe gibt, und weisen Sie sie ihm schriftlich zu.</w:t>
      </w:r>
    </w:p>
    <w:p>
      <w:pPr>
        <w:spacing w:after="140" w:line="300" w:lineRule="auto"/>
        <w:jc w:val="both"/>
      </w:pPr>
      <w:r>
        <w:rPr>
          <w:b/>
          <w:bCs/>
          <w:color w:val="1A1A1A"/>
        </w:rPr>
        <w:t xml:space="preserve">7. Die Wirksamkeit an einem Messpunkt prüfen.</w:t>
      </w:r>
      <w:r>
        <w:rPr>
          <w:color w:val="1A1A1A"/>
        </w:rPr>
        <w:t xml:space="preserve"> Legen Sie vorher fest, woran Sie sie erkennen, etwa die Uhrzeit des letzten fertigen Zimmers. Schreiben Sie das Ergebnis auf dasselbe Blatt.</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Liegen alle Blätter zur selben Abweichung an einem Ort, auch die erledigten?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Endet unsere Ursache bei einer Stelle im Ablauf und nicht bei einer Eigenschaft eines Menschen?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den Ablauf an einem echten Tag mit Uhrzeiten beobachtet?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wir geprüft, ob die Ursache bei der Inhaberin selbst liegt?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gesucht, was sonst zur selben Zeit auf dieselbe Person wartet?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Beseitigt die Maßnahme die Ursache, oder bringt sie nur mehr vom Gleichen?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geprüft, wen die Maßnahme belastet, und es zugewiesen?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auf dem Blatt, woran und wann die Wirksamkeit geprüft wird, und mit welchem Ergebnis?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Bei den Letzten in der Kette aufhören.</w:t>
      </w:r>
      <w:r>
        <w:rPr>
          <w:color w:val="1A1A1A"/>
        </w:rPr>
        <w:t xml:space="preserve"> Die Zimmerfrauen werden ermahnt, und die Ursache bleibt im Ablaufblatt stehen.</w:t>
      </w:r>
    </w:p>
    <w:p>
      <w:pPr>
        <w:spacing w:after="140" w:line="300" w:lineRule="auto"/>
        <w:jc w:val="both"/>
      </w:pPr>
      <w:r>
        <w:rPr>
          <w:b/>
          <w:bCs/>
          <w:color w:val="1A1A1A"/>
        </w:rPr>
        <w:t xml:space="preserve">Mehr Personal gegen Warten einsetzen.</w:t>
      </w:r>
      <w:r>
        <w:rPr>
          <w:color w:val="1A1A1A"/>
        </w:rPr>
        <w:t xml:space="preserve"> Die neue Kraft wartet mit, und das Haus bezahlt dafür jeden Samstag.</w:t>
      </w:r>
    </w:p>
    <w:p>
      <w:pPr>
        <w:spacing w:after="140" w:line="300" w:lineRule="auto"/>
        <w:jc w:val="both"/>
      </w:pPr>
      <w:r>
        <w:rPr>
          <w:b/>
          <w:bCs/>
          <w:color w:val="1A1A1A"/>
        </w:rPr>
        <w:t xml:space="preserve">Umgesetzt für wirksam halten.</w:t>
      </w:r>
      <w:r>
        <w:rPr>
          <w:color w:val="1A1A1A"/>
        </w:rPr>
        <w:t xml:space="preserve"> Dann kommt dieselbe Abweichung als neues Blatt zurück.</w:t>
      </w:r>
    </w:p>
    <w:p>
      <w:pPr>
        <w:spacing w:after="140" w:line="300" w:lineRule="auto"/>
        <w:jc w:val="both"/>
      </w:pPr>
      <w:r>
        <w:rPr>
          <w:b/>
          <w:bCs/>
          <w:color w:val="1A1A1A"/>
        </w:rPr>
        <w:t xml:space="preserve">Jedes Blatt einzeln bearbeiten.</w:t>
      </w:r>
      <w:r>
        <w:rPr>
          <w:color w:val="1A1A1A"/>
        </w:rPr>
        <w:t xml:space="preserve"> Wer drei Blätter nie nebeneinanderlegt, sieht drei Zufälle statt eines Ablaufs.</w:t>
      </w:r>
    </w:p>
    <w:p>
      <w:pPr>
        <w:spacing w:after="140" w:line="300" w:lineRule="auto"/>
        <w:jc w:val="both"/>
      </w:pPr>
      <w:r>
        <w:rPr>
          <w:b/>
          <w:bCs/>
          <w:color w:val="1A1A1A"/>
        </w:rPr>
        <w:t xml:space="preserve">Die eigene Rolle aus der Kette nehmen.</w:t>
      </w:r>
      <w:r>
        <w:rPr>
          <w:color w:val="1A1A1A"/>
        </w:rPr>
        <w:t xml:space="preserve"> Was die Inhaberin selbst tut, prüft dann niemand.</w:t>
      </w:r>
    </w:p>
    <w:p>
      <w:pPr>
        <w:spacing w:after="140" w:line="300" w:lineRule="auto"/>
        <w:jc w:val="both"/>
      </w:pPr>
      <w:r>
        <w:rPr>
          <w:b/>
          <w:bCs/>
          <w:color w:val="1A1A1A"/>
        </w:rPr>
        <w:t xml:space="preserve">Die Last der Inhaberin weiter erhöhen.</w:t>
      </w:r>
      <w:r>
        <w:rPr>
          <w:color w:val="1A1A1A"/>
        </w:rPr>
        <w:t xml:space="preserve"> Früher aufstehen verschiebt die Ursache nur, und der Engpass wird enger.</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Aushilfe samstags ab Juli: 14 × 5 Std. × € 15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€ 1.050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Maßnahme ohne Wirkung auf die Ursache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Wartezeit der Zimmerfrauen: 2 × 1,5 Std. × 30 Samstage × € 15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€ 1.350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je Saison bezahlt, ohne Arbeit an Wechselzimmern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Kaffee und Kuchen für wartende Gäste: 40 × € 8</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 Saison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Sechs zusätzliche Garnituren Bettwäsche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€ 270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 wegen später Abholung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Ursachensuche: 2 Personen × 2 Std. × € 40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€ 160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Inhaberin und Kreuzauditor, Stundenwert der Annahme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Schlüsselkasten, Einweisung der Zimmerfrauen: € 85 + 2 × 1 Std. × € 15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€ 115</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Wirksamkeitsprüfung: 3 Samstage × 0,5 Std. × € 40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€ 60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Inhaberin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ersten vier Zeilen kosten zusammen € 2.990, davon wiederkehren je Saison die Wartezeit und der Kuchen, zusammen € 1.670. Die Suche nach der Ursache und die neue Regel kosten € 335 einmal. Die Rechnung enthält nicht, was die Wartezeit bei der Anreise an Bewertungen und Wiederkehr kostet, und sie enthält nicht die Stunden, die Dörte in vierzehn Jahren am Samstagvormittag zwischen Kaffeemaschine und Empfang verbracht hat.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18"/>
        <w:gridCol w:w="3549"/>
        <w:gridCol w:w="3070"/>
      </w:tblGrid>
      <w:tr>
        <w:trPr>
          <w:tblHeader/>
        </w:trPr>
        <w:tc>
          <w:tcPr>
            <w:tcW w:w="301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54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07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01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Reagieren, korrigieren, mit Folgen umgehen (10.2)</w:t>
            </w:r>
          </w:p>
        </w:tc>
        <w:tc>
          <w:tcPr>
            <w:tcW w:w="354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Gepäck einstellen, Kaffee und Kuchen, Zimmer nachreichen</w:t>
            </w:r>
          </w:p>
        </w:tc>
        <w:tc>
          <w:tcPr>
            <w:tcW w:w="307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0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Ursachen bestimmen (10.2)</w:t>
            </w:r>
          </w:p>
        </w:tc>
        <w:tc>
          <w:tcPr>
            <w:tcW w:w="35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Warum-Kette auf der Rückseite der Abreiseliste</w:t>
            </w:r>
          </w:p>
        </w:tc>
        <w:tc>
          <w:tcPr>
            <w:tcW w:w="307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fünfmal Warum (im Handbuch als Anleitung)</w:t>
            </w:r>
          </w:p>
        </w:tc>
      </w:tr>
      <w:tr>
        <w:trPr>
          <w:cantSplit/>
        </w:trPr>
        <w:tc>
          <w:tcPr>
            <w:tcW w:w="301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Ähnliche Fälle prüfen (10.2)</w:t>
            </w:r>
          </w:p>
        </w:tc>
        <w:tc>
          <w:tcPr>
            <w:tcW w:w="354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Wäscheabholung und Telefon am Vormittag</w:t>
            </w:r>
          </w:p>
        </w:tc>
        <w:tc>
          <w:tcPr>
            <w:tcW w:w="307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Wer wartet noch auf dieselbe Person?</w:t>
            </w:r>
          </w:p>
        </w:tc>
      </w:tr>
      <w:tr>
        <w:trPr>
          <w:cantSplit/>
        </w:trPr>
        <w:tc>
          <w:tcPr>
            <w:tcW w:w="30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Befugnisse zuweisen und mitteilen (5.3)</w:t>
            </w:r>
          </w:p>
        </w:tc>
        <w:tc>
          <w:tcPr>
            <w:tcW w:w="35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Freigabe durch Schlüsselkasten, im Ablaufblatt</w:t>
            </w:r>
          </w:p>
        </w:tc>
        <w:tc>
          <w:tcPr>
            <w:tcW w:w="307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Handbuch: Folgen in anderen Bereichen prüfen</w:t>
            </w:r>
          </w:p>
        </w:tc>
      </w:tr>
      <w:tr>
        <w:trPr>
          <w:cantSplit/>
        </w:trPr>
        <w:tc>
          <w:tcPr>
            <w:tcW w:w="301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Wirksamkeit prüfen (10.2)</w:t>
            </w:r>
          </w:p>
        </w:tc>
        <w:tc>
          <w:tcPr>
            <w:tcW w:w="354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Uhrzeit des letzten fertigen Wechselzimmers an drei Samstagen</w:t>
            </w:r>
          </w:p>
        </w:tc>
        <w:tc>
          <w:tcPr>
            <w:tcW w:w="307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Prüftermin vorher festlegen</w:t>
            </w:r>
          </w:p>
        </w:tc>
      </w:tr>
      <w:tr>
        <w:trPr>
          <w:cantSplit/>
        </w:trPr>
        <w:tc>
          <w:tcPr>
            <w:tcW w:w="30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Dokumentierte Information (10.2)</w:t>
            </w:r>
          </w:p>
        </w:tc>
        <w:tc>
          <w:tcPr>
            <w:tcW w:w="354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 Blatt für alle drei Feststellungen, mit Ergebnis</w:t>
            </w:r>
          </w:p>
        </w:tc>
        <w:tc>
          <w:tcPr>
            <w:tcW w:w="307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Ursachen, Arbeit und Gästedaten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56"/>
        <w:gridCol w:w="2593"/>
        <w:gridCol w:w="2593"/>
        <w:gridCol w:w="2594"/>
      </w:tblGrid>
      <w:tr>
        <w:trPr>
          <w:tblHeader/>
        </w:trPr>
        <w:tc>
          <w:tcPr>
            <w:tcW w:w="185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9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9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9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85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Gefährdungsbeurteilung</w:t>
            </w:r>
          </w:p>
        </w:tc>
        <w:tc>
          <w:tcPr>
            <w:tcW w:w="259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Ergebnis, Maßnahmen und Überprüfung dokumentieren (§ 6 ArbSchG)</w:t>
            </w:r>
          </w:p>
        </w:tc>
        <w:tc>
          <w:tcPr>
            <w:tcW w:w="259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AUVAsicher: Begehung alle 2 Jahre bei 1 bis 10, jährlich bei 11 bis 50 Arbeitnehmern</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allgemeine Pflichten nach Art. 3–10 VUV</w:t>
            </w:r>
          </w:p>
        </w:tc>
      </w:tr>
      <w:tr>
        <w:trPr>
          <w:cantSplit/>
        </w:trPr>
        <w:tc>
          <w:tcPr>
            <w:tcW w:w="18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Betreuung im Kleinbetrieb</w:t>
            </w:r>
          </w:p>
        </w:tc>
        <w:tc>
          <w:tcPr>
            <w:tcW w:w="25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DGUV Vorschrift 2 der BGN: bis 20 Beschäftigte Anlage 1, oder Anlage 4 bei aktiver Mitarbeit des Unternehmers</w:t>
            </w:r>
          </w:p>
        </w:tc>
        <w:tc>
          <w:tcPr>
            <w:tcW w:w="25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AUVAsicher kostenlos bis 50 Arbeitnehmer je Arbeitsstätte</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EKAS 6508: Beizug, wo besondere Gefährdungen bestehen und Fachwissen fehlt; unter 10 Nachweis mit einfachen Mitteln</w:t>
            </w:r>
          </w:p>
        </w:tc>
      </w:tr>
      <w:tr>
        <w:trPr>
          <w:cantSplit/>
        </w:trPr>
        <w:tc>
          <w:tcPr>
            <w:tcW w:w="185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Beschwerden als Anlass</w:t>
            </w:r>
          </w:p>
        </w:tc>
        <w:tc>
          <w:tcPr>
            <w:tcW w:w="259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Hotelstars Nr. 230: systematischer Umgang, Mindestkriterium ab 3 Sternen</w:t>
            </w:r>
          </w:p>
        </w:tc>
        <w:tc>
          <w:tcPr>
            <w:tcW w:w="259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WKO-Katalog Nr. 230: wahlweise, 1 Punkt</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Guesthouse-Katalog: Serviceleitfaden (Nr. 39)</w:t>
            </w:r>
          </w:p>
        </w:tc>
      </w:tr>
      <w:tr>
        <w:trPr>
          <w:cantSplit/>
        </w:trPr>
        <w:tc>
          <w:tcPr>
            <w:tcW w:w="18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Liste für die Zimmerfrauen</w:t>
            </w:r>
          </w:p>
        </w:tc>
        <w:tc>
          <w:tcPr>
            <w:tcW w:w="25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Gästedaten nur im erforderlichen Umfang (DSGVO)</w:t>
            </w:r>
          </w:p>
        </w:tc>
        <w:tc>
          <w:tcPr>
            <w:tcW w:w="259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Deutschland</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DSG</w:t>
            </w:r>
          </w:p>
        </w:tc>
      </w:tr>
      <w:tr>
        <w:trPr>
          <w:cantSplit/>
        </w:trPr>
        <w:tc>
          <w:tcPr>
            <w:tcW w:w="185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Meldedaten bei Anreise</w:t>
            </w:r>
          </w:p>
        </w:tc>
        <w:tc>
          <w:tcPr>
            <w:tcW w:w="259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besonderer Meldeschein für ausländische Gäste (§ 29 BMG); 1 Jahr aufbewahren, binnen 3 Monaten vernichten (§ 30)</w:t>
            </w:r>
          </w:p>
        </w:tc>
        <w:tc>
          <w:tcPr>
            <w:tcW w:w="259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Gästeverzeichnis, spätestens 24 Stunden nach Eintreffen</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Ausländer der kantonalen Behörde melden (Art. 16 AIG)</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3.11.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3.11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