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3.12</w:t>
      </w:r>
    </w:p>
    <w:p>
      <w:r>
        <w:rPr>
          <w:b/>
          <w:i w:val="0"/>
          <w:sz w:val="24"/>
        </w:rPr>
        <w:t>Der Bericht an die Inhaberin, die zugleich geprüft wurde</w:t>
      </w:r>
    </w:p>
    <w:p>
      <w:r>
        <w:rPr>
          <w:b w:val="0"/>
          <w:i/>
          <w:sz w:val="20"/>
        </w:rPr>
        <w:t>Den Bericht auf einer Seite schreiben: zuerst der Schluss, dann die Feststellungen mit ihren Folgen, am Ende die eine Entscheidung.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der Auditbericht über Ihr Haus vor Ihnen liegt und die wichtigsten Feststellungen Ihre eigene Arbeit betreffen: Lesen Sie ihn dann als die, die entscheidet, oder als die, die sich verteidigt? Und was müsste auf der ersten Seite stehen, damit Sie noch am selben Vormittag entscheiden?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Eine Seite an die Inhaberin: was wohin gehört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8"/>
        <w:gridCol w:w="3007"/>
        <w:gridCol w:w="4632"/>
      </w:tblGrid>
      <w:tr>
        <w:trPr>
          <w:tblHeader/>
        </w:trPr>
        <w:tc>
          <w:tcPr>
            <w:tcW w:w="199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Teil</w:t>
            </w:r>
          </w:p>
        </w:tc>
        <w:tc>
          <w:tcPr>
            <w:tcW w:w="300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Inhalt</w:t>
            </w:r>
          </w:p>
        </w:tc>
        <w:tc>
          <w:tcPr>
            <w:tcW w:w="463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Im Bericht aus Bad Aussee</w:t>
            </w:r>
          </w:p>
        </w:tc>
      </w:tr>
      <w:tr>
        <w:trPr>
          <w:cantSplit/>
        </w:trPr>
        <w:tc>
          <w:tcPr>
            <w:tcW w:w="19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Schluss</w:t>
            </w:r>
          </w:p>
        </w:tc>
        <w:tc>
          <w:tcPr>
            <w:tcW w:w="30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trägt das System, wo nicht</w:t>
            </w:r>
          </w:p>
        </w:tc>
        <w:tc>
          <w:tcPr>
            <w:tcW w:w="46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trägt im Tagesbetrieb; steht an drei Stellen bei der Inhaberin still</w:t>
            </w:r>
          </w:p>
        </w:tc>
      </w:tr>
      <w:tr>
        <w:trPr>
          <w:cantSplit/>
        </w:trPr>
        <w:tc>
          <w:tcPr>
            <w:tcW w:w="19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Feststellung 1</w:t>
            </w:r>
          </w:p>
        </w:tc>
        <w:tc>
          <w:tcPr>
            <w:tcW w:w="30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Kriterium, Nachweis, Schluss, Folge</w:t>
            </w:r>
          </w:p>
        </w:tc>
        <w:tc>
          <w:tcPr>
            <w:tcW w:w="46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Reparaturauftrag Spülmaschine: 22. September eingegangen, 3. Oktober unterschrieben; 9 Betriebstage Handspülen</w:t>
            </w:r>
          </w:p>
        </w:tc>
      </w:tr>
      <w:tr>
        <w:trPr>
          <w:cantSplit/>
        </w:trPr>
        <w:tc>
          <w:tcPr>
            <w:tcW w:w="19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Feststellung 2</w:t>
            </w:r>
          </w:p>
        </w:tc>
        <w:tc>
          <w:tcPr>
            <w:tcW w:w="30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46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Begehungsbericht vom April im versperrten Ordner; Empfehlung zur Stehleiter offen; Küchenchef und Haustechnik kannten ihn nicht</w:t>
            </w:r>
          </w:p>
        </w:tc>
      </w:tr>
      <w:tr>
        <w:trPr>
          <w:cantSplit/>
        </w:trPr>
        <w:tc>
          <w:tcPr>
            <w:tcW w:w="19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Feststellung 3</w:t>
            </w:r>
          </w:p>
        </w:tc>
        <w:tc>
          <w:tcPr>
            <w:tcW w:w="30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c>
          <w:tcPr>
            <w:tcW w:w="46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Entscheidung Abendküche Winter, fällig Ende Juni, offen; Saisonkoch zweimal ohne Antwort</w:t>
            </w:r>
          </w:p>
        </w:tc>
      </w:tr>
      <w:tr>
        <w:trPr>
          <w:cantSplit/>
        </w:trPr>
        <w:tc>
          <w:tcPr>
            <w:tcW w:w="19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Die eine Entscheidung</w:t>
            </w:r>
          </w:p>
        </w:tc>
        <w:tc>
          <w:tcPr>
            <w:tcW w:w="30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Frage und Termin</w:t>
            </w:r>
          </w:p>
        </w:tc>
        <w:tc>
          <w:tcPr>
            <w:tcW w:w="46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Ruhetage der Abendküche im Winter, bis 15. November</w:t>
            </w:r>
          </w:p>
        </w:tc>
      </w:tr>
      <w:tr>
        <w:trPr>
          <w:cantSplit/>
        </w:trPr>
        <w:tc>
          <w:tcPr>
            <w:tcW w:w="19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Beilage</w:t>
            </w:r>
          </w:p>
        </w:tc>
        <w:tc>
          <w:tcPr>
            <w:tcW w:w="30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übrige Feststellungen</w:t>
            </w:r>
          </w:p>
        </w:tc>
        <w:tc>
          <w:tcPr>
            <w:tcW w:w="46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acht Feststellungen, darunter zwei Stärken</w:t>
            </w:r>
          </w:p>
        </w:tc>
      </w:tr>
    </w:tbl>
    <w:p>
      <w:pPr>
        <w:keepNext/>
        <w:spacing w:before="260" w:after="120"/>
      </w:pPr>
      <w:r>
        <w:rPr>
          <w:b/>
          <w:bCs/>
          <w:color w:val="8C5A2B"/>
          <w:sz w:val="25"/>
          <w:szCs w:val="25"/>
        </w:rPr>
        <w:t xml:space="preserve">Praktische Anwendung: den Bericht an eine Inhaberin, die zugleich geprüft wurde, in sieben Schritten schreiben</w:t>
      </w:r>
    </w:p>
    <w:p>
      <w:pPr>
        <w:spacing w:after="140" w:line="300" w:lineRule="auto"/>
        <w:jc w:val="both"/>
      </w:pPr>
      <w:r>
        <w:rPr>
          <w:b/>
          <w:bCs/>
          <w:color w:val="1A1A1A"/>
        </w:rPr>
        <w:t xml:space="preserve">1. Den Schluss zuerst schreiben.</w:t>
      </w:r>
      <w:r>
        <w:rPr>
          <w:color w:val="1A1A1A"/>
        </w:rPr>
        <w:t xml:space="preserve"> Zwei oder drei Sätze: Wo trägt das System, wo nicht? Erst dann die Feststellungen ordnen.</w:t>
      </w:r>
    </w:p>
    <w:p>
      <w:pPr>
        <w:spacing w:after="140" w:line="300" w:lineRule="auto"/>
        <w:jc w:val="both"/>
      </w:pPr>
      <w:r>
        <w:rPr>
          <w:b/>
          <w:bCs/>
          <w:color w:val="1A1A1A"/>
        </w:rPr>
        <w:t xml:space="preserve">2. Nach Bedeutung ordnen, nicht nach Rundgang.</w:t>
      </w:r>
      <w:r>
        <w:rPr>
          <w:color w:val="1A1A1A"/>
        </w:rPr>
        <w:t xml:space="preserve"> Die drei wichtigsten Feststellungen kommen auf die Seite, die übrigen in eine Beilage.</w:t>
      </w:r>
    </w:p>
    <w:p>
      <w:pPr>
        <w:spacing w:after="140" w:line="300" w:lineRule="auto"/>
        <w:jc w:val="both"/>
      </w:pPr>
      <w:r>
        <w:rPr>
          <w:b/>
          <w:bCs/>
          <w:color w:val="1A1A1A"/>
        </w:rPr>
        <w:t xml:space="preserve">3. Im Indikativ schreiben.</w:t>
      </w:r>
      <w:r>
        <w:rPr>
          <w:color w:val="1A1A1A"/>
        </w:rPr>
        <w:t xml:space="preserve"> Streichen Sie «es wäre zu überlegen» und «könnte». Was Sie gesehen haben, ist eine Tatsache.</w:t>
      </w:r>
    </w:p>
    <w:p>
      <w:pPr>
        <w:spacing w:after="140" w:line="300" w:lineRule="auto"/>
        <w:jc w:val="both"/>
      </w:pPr>
      <w:r>
        <w:rPr>
          <w:b/>
          <w:bCs/>
          <w:color w:val="1A1A1A"/>
        </w:rPr>
        <w:t xml:space="preserve">4. Die Rolle nennen, wo sie die Stelle im Ablauf ist.</w:t>
      </w:r>
      <w:r>
        <w:rPr>
          <w:color w:val="1A1A1A"/>
        </w:rPr>
        <w:t xml:space="preserve"> «Die Freigabe liegt allein bei der Inhaberin» ist eine Beschreibung, keine Anklage. «Die Leitung» im Flüsterton ist beides nicht.</w:t>
      </w:r>
    </w:p>
    <w:p>
      <w:pPr>
        <w:spacing w:after="140" w:line="300" w:lineRule="auto"/>
        <w:jc w:val="both"/>
      </w:pPr>
      <w:r>
        <w:rPr>
          <w:b/>
          <w:bCs/>
          <w:color w:val="1A1A1A"/>
        </w:rPr>
        <w:t xml:space="preserve">5. Zu jeder Feststellung eine Zeile Folge schreiben.</w:t>
      </w:r>
      <w:r>
        <w:rPr>
          <w:color w:val="1A1A1A"/>
        </w:rPr>
        <w:t xml:space="preserve"> Was geschieht, wenn nichts geschieht? Nur Tatsachen, die jemand bestätigt hat.</w:t>
      </w:r>
    </w:p>
    <w:p>
      <w:pPr>
        <w:spacing w:after="140" w:line="300" w:lineRule="auto"/>
        <w:jc w:val="both"/>
      </w:pPr>
      <w:r>
        <w:rPr>
          <w:b/>
          <w:bCs/>
          <w:color w:val="1A1A1A"/>
        </w:rPr>
        <w:t xml:space="preserve">6. Mit einer Frage und einem Termin enden.</w:t>
      </w:r>
      <w:r>
        <w:rPr>
          <w:color w:val="1A1A1A"/>
        </w:rPr>
        <w:t xml:space="preserve"> Die eine Entscheidung, die zuerst fällig ist. Die Antwort schreibt die Inhaberin, nicht Sie.</w:t>
      </w:r>
    </w:p>
    <w:p>
      <w:pPr>
        <w:spacing w:after="140" w:line="300" w:lineRule="auto"/>
        <w:jc w:val="both"/>
      </w:pPr>
      <w:r>
        <w:rPr>
          <w:b/>
          <w:bCs/>
          <w:color w:val="1A1A1A"/>
        </w:rPr>
        <w:t xml:space="preserve">7. Zwei Gespräche führen, auch mit einer Person.</w:t>
      </w:r>
      <w:r>
        <w:rPr>
          <w:color w:val="1A1A1A"/>
        </w:rPr>
        <w:t xml:space="preserve"> Zuerst die Tatsachen mit der Geprüften, dann die Entscheidung mit der Leitung. Sagen Sie laut, wann das eine endet und das andere beginnt.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Beginnt unser letzter Auditbericht mit einem Schluss über das System?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Stehen die wichtigsten Feststellungen vorn, auch wenn sie die Inhaberin betreffen?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Passt der Bericht ohne Beilage auf eine Seite?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er frei von Konjunktiven, wo Tatsachen stehen?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jede Feststellung auf der Seite eine Zeile Folge?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Endet der Bericht mit einer Entscheidung und einem Termin?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die Inhaberin die Tatsachen bestätigt, bevor sie als Leitung entschieden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Kommt der Bericht auf das Blatt der nächsten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Dem Rundgang folgen.</w:t>
      </w:r>
      <w:r>
        <w:rPr>
          <w:color w:val="1A1A1A"/>
        </w:rPr>
        <w:t xml:space="preserve"> Die wichtigsten Befunde landen hinten, und die Leserin hält sie für versteckt.</w:t>
      </w:r>
    </w:p>
    <w:p>
      <w:pPr>
        <w:spacing w:after="140" w:line="300" w:lineRule="auto"/>
        <w:jc w:val="both"/>
      </w:pPr>
      <w:r>
        <w:rPr>
          <w:b/>
          <w:bCs/>
          <w:color w:val="1A1A1A"/>
        </w:rPr>
        <w:t xml:space="preserve">Aus Rücksicht den Konjunktiv wählen.</w:t>
      </w:r>
      <w:r>
        <w:rPr>
          <w:color w:val="1A1A1A"/>
        </w:rPr>
        <w:t xml:space="preserve"> Aus der Feststellung wird ein Vorschlag, und ein Vorschlag lässt sich ablehnen.</w:t>
      </w:r>
    </w:p>
    <w:p>
      <w:pPr>
        <w:spacing w:after="140" w:line="300" w:lineRule="auto"/>
        <w:jc w:val="both"/>
      </w:pPr>
      <w:r>
        <w:rPr>
          <w:b/>
          <w:bCs/>
          <w:color w:val="1A1A1A"/>
        </w:rPr>
        <w:t xml:space="preserve">«Die Leitung» schreiben, wo jeder weiß, wer gemeint ist.</w:t>
      </w:r>
      <w:r>
        <w:rPr>
          <w:color w:val="1A1A1A"/>
        </w:rPr>
        <w:t xml:space="preserve"> Das klingt nach Flüstern und weckt Misstrauen.</w:t>
      </w:r>
    </w:p>
    <w:p>
      <w:pPr>
        <w:spacing w:after="140" w:line="300" w:lineRule="auto"/>
        <w:jc w:val="both"/>
      </w:pPr>
      <w:r>
        <w:rPr>
          <w:b/>
          <w:bCs/>
          <w:color w:val="1A1A1A"/>
        </w:rPr>
        <w:t xml:space="preserve">Die Folgen weglassen.</w:t>
      </w:r>
      <w:r>
        <w:rPr>
          <w:color w:val="1A1A1A"/>
        </w:rPr>
        <w:t xml:space="preserve"> Die Inhaberin kann nicht abwägen und verteidigt sich mit Gründen.</w:t>
      </w:r>
    </w:p>
    <w:p>
      <w:pPr>
        <w:spacing w:after="140" w:line="300" w:lineRule="auto"/>
        <w:jc w:val="both"/>
      </w:pPr>
      <w:r>
        <w:rPr>
          <w:b/>
          <w:bCs/>
          <w:color w:val="1A1A1A"/>
        </w:rPr>
        <w:t xml:space="preserve">Ohne Frage enden.</w:t>
      </w:r>
      <w:r>
        <w:rPr>
          <w:color w:val="1A1A1A"/>
        </w:rPr>
        <w:t xml:space="preserve"> Der Bericht wird abgelegt, und die Entscheidung bleibt, wo sie war.</w:t>
      </w:r>
    </w:p>
    <w:p>
      <w:pPr>
        <w:spacing w:after="140" w:line="300" w:lineRule="auto"/>
        <w:jc w:val="both"/>
      </w:pPr>
      <w:r>
        <w:rPr>
          <w:b/>
          <w:bCs/>
          <w:color w:val="1A1A1A"/>
        </w:rPr>
        <w:t xml:space="preserve">Die Lösung hineinschreiben.</w:t>
      </w:r>
      <w:r>
        <w:rPr>
          <w:color w:val="1A1A1A"/>
        </w:rPr>
        <w:t xml:space="preserve"> Der Kreuzauditor wird zum Berater, und die Inhaberin entscheidet nicht selbst.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Kreuzaudit: 12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€ 540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Gegenseitigkeit statt Rechnung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Erster Bericht, drei Seiten: 5 Std. × € 45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€ 225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Auditor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Bericht auf einer Seite: 2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€ 90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Auditor, am Sonntagabend</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Gespräch am Montag: 2 Personen × 1,5 Std. × € 45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€ 135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Tatsachen, dann Entscheidung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Handspülen bei offener Freigabe: 9 Tage × 2 Std. × € 17</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€ 306</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Küche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Stehleiter ersetzen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Ersatz für den Saisonkoch, falls er absagt: Inserat und zwei Probetage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€ 900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Annahme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Berichte kosten zusammen € 315 Arbeitszeit, und die zwei Stunden für die eine Seite kosten weniger als die fünf für die drei. Handspülen, Leiter und Ersatz für den Koch ergeben im Modell € 1.346, wenn der Koch absagt, und € 446, wenn er bleibt. Die Entscheidung am Montag kostete einen Satz und einen Anruf. Alle Stundenwerte sind Annahmen dieses Beispiels.</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41"/>
        <w:gridCol w:w="3859"/>
        <w:gridCol w:w="2337"/>
      </w:tblGrid>
      <w:tr>
        <w:trPr>
          <w:tblHeader/>
        </w:trPr>
        <w:tc>
          <w:tcPr>
            <w:tcW w:w="344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8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23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44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(9.2.2)</w:t>
            </w:r>
          </w:p>
        </w:tc>
        <w:tc>
          <w:tcPr>
            <w:tcW w:w="38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an die Inhaberin, Gespräch am Montag</w:t>
            </w:r>
          </w:p>
        </w:tc>
        <w:tc>
          <w:tcPr>
            <w:tcW w:w="23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Bericht auf einer Seite</w:t>
            </w:r>
          </w:p>
        </w:tc>
      </w:tr>
      <w:tr>
        <w:trPr>
          <w:cantSplit/>
        </w:trPr>
        <w:tc>
          <w:tcPr>
            <w:tcW w:w="34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zu den Ergebnissen (9.2.2)</w:t>
            </w:r>
          </w:p>
        </w:tc>
        <w:tc>
          <w:tcPr>
            <w:tcW w:w="38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Seite und Beilage in der Mappe</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44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Auditergebnisse als Eingabe der Bewertung (9.3.2)</w:t>
            </w:r>
          </w:p>
        </w:tc>
        <w:tc>
          <w:tcPr>
            <w:tcW w:w="38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kommt auf das Blatt der nächsten Managementbewertung</w:t>
            </w:r>
          </w:p>
        </w:tc>
        <w:tc>
          <w:tcPr>
            <w:tcW w:w="23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Schluss zuerst</w:t>
            </w:r>
          </w:p>
        </w:tc>
      </w:tr>
      <w:tr>
        <w:trPr>
          <w:cantSplit/>
        </w:trPr>
        <w:tc>
          <w:tcPr>
            <w:tcW w:w="34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Führung: Ressourcen, Ergebnisse, Unterstützung (5.1)</w:t>
            </w:r>
          </w:p>
        </w:tc>
        <w:tc>
          <w:tcPr>
            <w:tcW w:w="38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drei Stellen, an denen das System auf die Inhaberin wartet</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Folge je Feststellung</w:t>
            </w:r>
          </w:p>
        </w:tc>
      </w:tr>
      <w:tr>
        <w:trPr>
          <w:cantSplit/>
        </w:trPr>
        <w:tc>
          <w:tcPr>
            <w:tcW w:w="344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Information verfügbar, wo benötigt (7.5.3)</w:t>
            </w:r>
          </w:p>
        </w:tc>
        <w:tc>
          <w:tcPr>
            <w:tcW w:w="38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Ordner Sicherheit für Küche und Haustechnik</w:t>
            </w:r>
          </w:p>
        </w:tc>
        <w:tc>
          <w:tcPr>
            <w:tcW w:w="23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4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Entscheidungen zu Änderungen (9.3.3)</w:t>
            </w:r>
          </w:p>
        </w:tc>
        <w:tc>
          <w:tcPr>
            <w:tcW w:w="38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Entscheidung mit Termin am Ende der Seite</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Frist für die Reaktion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ein Bericht an die Inhaberin rechtlich berührt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569"/>
        <w:gridCol w:w="2569"/>
        <w:gridCol w:w="2571"/>
      </w:tblGrid>
      <w:tr>
        <w:trPr>
          <w:tblHeader/>
        </w:trPr>
        <w:tc>
          <w:tcPr>
            <w:tcW w:w="19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Betreuung im </w:t>
            </w:r>
            <w:r>
              <w:rPr>
                <w:b/>
                <w:bCs/>
                <w:color w:val="1A1A1A"/>
                <w:sz w:val="17"/>
                <w:szCs w:val="17"/>
              </w:rPr>
              <w:t xml:space="preserve">Arbeitsschutz</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DGUV Vorschrift 2 der BGN: bis 20 Beschäftigte Anlage 1 oder Anlage 4</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AUVAsicher: Begehung jährlich bei 11 bis 50 Arbeitnehmern; Unternehmermodell bis 50</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EKAS 6508: Beizug, wo besondere Gefährdungen bestehen und Fachwissen fehlt; unter 10 Nachweis mit einfachen Mitteln</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Dokumentation der Gefährdungen</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Ergebnis, Maßnahmen, Überprüfung (§ 6 ArbSchG)</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Begehungsbericht als Anlass</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allgemeine Pflichten nach VUV</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Personaldaten im Bericht</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DSGVO: nur im erforderlichen Umfang</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Gästeverzeichnis bei Abwesenheit</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Meldescheine 1 Jahr, Vernichtung binnen 3 Monaten (§ 30 BMG)</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Anmeldung spätestens 24 Stunden nach Eintreffen; 7 Jahre aufbewahren</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Meldung ausländischer Gäste (Art. 16 AIG); Verfahren kantonal</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Entscheidung über einen Rechtsverstoß</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Aufsichtsbehörde oder Berufsgenossenschaft; der Auditor bewertet Nachweise</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Behörde, etwa die Arbeitsinspektion</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kantonaler Vollzug</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3.12.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3.12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