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
        <w:rPr>
          <w:b/>
          <w:i w:val="0"/>
          <w:color w:val="8C5A2B"/>
          <w:sz w:val="18"/>
        </w:rPr>
        <w:t>Das Steuer und die Lupe · Band 9b · Kleine Betriebe — Prüfen, wo jeder alles macht</w:t>
      </w:r>
    </w:p>
    <w:p>
      <w:pPr>
        <w:pStyle w:val="Titolo2"/>
        <w:keepNext/>
        <w:keepLines/>
        <w:spacing w:after="200" w:line="340" w:lineRule="auto"/>
      </w:pPr>
      <w:r>
        <w:t xml:space="preserve">Arbeitsmaterial zu Abschnitt 3.14</w:t>
      </w:r>
    </w:p>
    <w:p>
      <w:r>
        <w:rPr>
          <w:b/>
          <w:i w:val="0"/>
          <w:sz w:val="24"/>
        </w:rPr>
        <w:t>Lieferanten prüfen ohne Macht: der kleine Kunde</w:t>
      </w:r>
    </w:p>
    <w:p>
      <w:r>
        <w:rPr>
          <w:b w:val="0"/>
          <w:i/>
          <w:sz w:val="20"/>
        </w:rPr>
        <w:t>Lieferanten ohne Macht prüfen: Wareneingang, Reklamationen, Nachweise und ein Ersatz, fair auch zum kleinen Lieferanten.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tc>
          <w:tcPr>
            <w:tcW w:w="9638" w:type="dxa"/>
            <w:tcBorders>
              <w:top w:val="none" w:sz="0" w:space="0" w:color="FFFFFF"/>
              <w:left w:val="single" w:sz="24" w:space="0" w:color="8C5A2B"/>
              <w:bottom w:val="none" w:sz="0" w:space="0" w:color="FFFFFF"/>
              <w:right w:val="none" w:sz="0" w:space="0" w:color="FFFFFF"/>
            </w:tcBorders>
            <w:shd w:val="clear" w:color="auto" w:fill="EFE7DC"/>
            <w:tcMar>
              <w:top w:w="100" w:type="dxa"/>
              <w:left w:w="180" w:type="dxa"/>
              <w:bottom w:w="100" w:type="dxa"/>
              <w:right w:w="160" w:type="dxa"/>
            </w:tcMar>
          </w:tcPr>
          <w:p>
            <w:pPr>
              <w:spacing w:line="300" w:lineRule="auto"/>
            </w:pPr>
            <w:r>
              <w:rPr>
                <w:b/>
                <w:bCs/>
                <w:color w:val="8C5A2B"/>
                <w:sz w:val="18"/>
                <w:szCs w:val="18"/>
              </w:rPr>
              <w:t xml:space="preserve">Leitfrage </w:t>
            </w:r>
            <w:r>
              <w:rPr>
                <w:i/>
                <w:iCs/>
                <w:color w:val="1A1A1A"/>
              </w:rPr>
              <w:t>Bei welchem Ihrer Lieferanten sind Sie der kleinste Kunde, und was würde er sagen, wenn Sie ihn um ein Audit bäten? Und was prüfen Sie stattdessen, an Ihrer eigenen Tür, bevor die Ware im Schrank liegt?</w:t>
            </w:r>
          </w:p>
        </w:tc>
      </w:tr>
    </w:tbl>
    <w:p>
      <w:r>
        <w:rPr>
          <w:b w:val="0"/>
          <w:i/>
          <w:sz w:val="19"/>
        </w:rPr>
        <w:t>Dieses Blatt gibt den Werkzeugteil des Abschnitts in bearbeitbarer Form wieder: die Fragen in ihrer Reihenfolge, den Hinweis, was verlangt ist, von wem es verlangt ist und was nur Anleitung oder Methode ist, und die Zahlen der Modellrechnung zum Ersetzen durch die eigenen. Die Begründung jedes Schritts steht im Buch. Das Blatt ersetzt weder die Norm noch eine Beratung im Einzelfall.</w:t>
      </w:r>
    </w:p>
    <w:p>
      <w:pPr>
        <w:keepNext/>
        <w:spacing w:before="260" w:after="120"/>
      </w:pPr>
      <w:r>
        <w:rPr>
          <w:b/>
          <w:bCs/>
          <w:color w:val="8C5A2B"/>
          <w:sz w:val="25"/>
          <w:szCs w:val="25"/>
        </w:rPr>
        <w:t xml:space="preserve">Das Werkzeug des Abschnitts</w:t>
      </w:r>
    </w:p>
    <w:p>
      <w:pPr>
        <w:keepNext/>
        <w:spacing w:before="160" w:after="90"/>
      </w:pPr>
      <w:r>
        <w:rPr>
          <w:b/>
          <w:bCs/>
          <w:color w:val="5A5A5A"/>
          <w:sz w:val="18"/>
          <w:szCs w:val="18"/>
        </w:rPr>
        <w:t xml:space="preserve">Tabelle 2 — Fünf Wege des kleinen Kunden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93"/>
        <w:gridCol w:w="3494"/>
        <w:gridCol w:w="4250"/>
      </w:tblGrid>
      <w:tr>
        <w:trPr>
          <w:tblHeader/>
        </w:trPr>
        <w:tc>
          <w:tcPr>
            <w:tcW w:w="1893"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Weg</w:t>
            </w:r>
          </w:p>
        </w:tc>
        <w:tc>
          <w:tcPr>
            <w:tcW w:w="349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Was er zeigt</w:t>
            </w:r>
          </w:p>
        </w:tc>
        <w:tc>
          <w:tcPr>
            <w:tcW w:w="4250"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In Meißen</w:t>
            </w:r>
          </w:p>
        </w:tc>
      </w:tr>
      <w:tr>
        <w:trPr>
          <w:cantSplit/>
        </w:trPr>
        <w:tc>
          <w:tcPr>
            <w:tcW w:w="189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Wareneingang</w:t>
            </w:r>
          </w:p>
        </w:tc>
        <w:tc>
          <w:tcPr>
            <w:tcW w:w="349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was tatsächlich ankommt</w:t>
            </w:r>
          </w:p>
        </w:tc>
        <w:tc>
          <w:tcPr>
            <w:tcW w:w="425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zehn Minuten je Lieferung, zehn Stücke gegen das Licht, Foto</w:t>
            </w:r>
          </w:p>
        </w:tc>
      </w:tr>
      <w:tr>
        <w:trPr>
          <w:cantSplit/>
        </w:trPr>
        <w:tc>
          <w:tcPr>
            <w:tcW w:w="189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Reklamationsliste</w:t>
            </w:r>
          </w:p>
        </w:tc>
        <w:tc>
          <w:tcPr>
            <w:tcW w:w="349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wie oft etwas nicht stimmt</w:t>
            </w:r>
          </w:p>
        </w:tc>
        <w:tc>
          <w:tcPr>
            <w:tcW w:w="425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eine Zeile je Vorfall; nach drei Monaten gezählt</w:t>
            </w:r>
          </w:p>
        </w:tc>
      </w:tr>
      <w:tr>
        <w:trPr>
          <w:cantSplit/>
        </w:trPr>
        <w:tc>
          <w:tcPr>
            <w:tcW w:w="189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Nachweise</w:t>
            </w:r>
          </w:p>
        </w:tc>
        <w:tc>
          <w:tcPr>
            <w:tcW w:w="349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wie der Lieferant arbeitet, nach eigener Angabe</w:t>
            </w:r>
          </w:p>
        </w:tc>
        <w:tc>
          <w:tcPr>
            <w:tcW w:w="425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Beschreibung der Trennung von Pflege- und Hotelwäsche</w:t>
            </w:r>
          </w:p>
        </w:tc>
      </w:tr>
      <w:tr>
        <w:trPr>
          <w:cantSplit/>
        </w:trPr>
        <w:tc>
          <w:tcPr>
            <w:tcW w:w="189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Kontakt</w:t>
            </w:r>
          </w:p>
        </w:tc>
        <w:tc>
          <w:tcPr>
            <w:tcW w:w="349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was der Lieferant zur Zahl sagt</w:t>
            </w:r>
          </w:p>
        </w:tc>
        <w:tc>
          <w:tcPr>
            <w:tcW w:w="425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Kundenbetreuerin bei der Abholung, Liste auf dem Tisch</w:t>
            </w:r>
          </w:p>
        </w:tc>
      </w:tr>
      <w:tr>
        <w:trPr>
          <w:cantSplit/>
        </w:trPr>
        <w:tc>
          <w:tcPr>
            <w:tcW w:w="189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Ersatz</w:t>
            </w:r>
          </w:p>
        </w:tc>
        <w:tc>
          <w:tcPr>
            <w:tcW w:w="349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ob das Haus wechseln könnte</w:t>
            </w:r>
          </w:p>
        </w:tc>
        <w:tc>
          <w:tcPr>
            <w:tcW w:w="425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Angebot einer kleineren Wäscherei im Landkreis</w:t>
            </w:r>
          </w:p>
        </w:tc>
      </w:tr>
    </w:tbl>
    <w:p>
      <w:pPr>
        <w:keepNext/>
        <w:spacing w:before="260" w:after="120"/>
      </w:pPr>
      <w:r>
        <w:rPr>
          <w:b/>
          <w:bCs/>
          <w:color w:val="8C5A2B"/>
          <w:sz w:val="25"/>
          <w:szCs w:val="25"/>
        </w:rPr>
        <w:t xml:space="preserve">Praktische Anwendung: Lieferanten ohne Macht in sieben Schritten prüfen</w:t>
      </w:r>
    </w:p>
    <w:p>
      <w:pPr>
        <w:spacing w:after="140" w:line="300" w:lineRule="auto"/>
        <w:jc w:val="both"/>
      </w:pPr>
      <w:r>
        <w:rPr>
          <w:b/>
          <w:bCs/>
          <w:color w:val="1A1A1A"/>
        </w:rPr>
        <w:t xml:space="preserve">1. Die eigene Stellung notieren.</w:t>
      </w:r>
      <w:r>
        <w:rPr>
          <w:color w:val="1A1A1A"/>
        </w:rPr>
        <w:t xml:space="preserve"> Schreiben Sie auf Ihre Lieferantenliste zu jedem wichtigen Lieferanten, ob Sie dort ein großer oder ein kleiner Kunde sind. Davon hängt ab, welche Wege offenstehen.</w:t>
      </w:r>
    </w:p>
    <w:p>
      <w:pPr>
        <w:spacing w:after="140" w:line="300" w:lineRule="auto"/>
        <w:jc w:val="both"/>
      </w:pPr>
      <w:r>
        <w:rPr>
          <w:b/>
          <w:bCs/>
          <w:color w:val="1A1A1A"/>
        </w:rPr>
        <w:t xml:space="preserve">2. Den Wareneingang zur Prüfstelle machen.</w:t>
      </w:r>
      <w:r>
        <w:rPr>
          <w:color w:val="1A1A1A"/>
        </w:rPr>
        <w:t xml:space="preserve"> Zehn Minuten je Lieferung, fest im Ablauf: zählen, eine kleine Stichprobe ansehen, Abweichungen auf den Lieferschein. Wer annimmt, unterschreibt.</w:t>
      </w:r>
    </w:p>
    <w:p>
      <w:pPr>
        <w:spacing w:after="140" w:line="300" w:lineRule="auto"/>
        <w:jc w:val="both"/>
      </w:pPr>
      <w:r>
        <w:rPr>
          <w:b/>
          <w:bCs/>
          <w:color w:val="1A1A1A"/>
        </w:rPr>
        <w:t xml:space="preserve">3. Jede Abweichung mit einer Zeile festhalten.</w:t>
      </w:r>
      <w:r>
        <w:rPr>
          <w:color w:val="1A1A1A"/>
        </w:rPr>
        <w:t xml:space="preserve"> Datum, was fehlte oder nicht stimmte, Foto, Antwort des Lieferanten. Kein Anruf ohne Zeile.</w:t>
      </w:r>
    </w:p>
    <w:p>
      <w:pPr>
        <w:spacing w:after="140" w:line="300" w:lineRule="auto"/>
        <w:jc w:val="both"/>
      </w:pPr>
      <w:r>
        <w:rPr>
          <w:b/>
          <w:bCs/>
          <w:color w:val="1A1A1A"/>
        </w:rPr>
        <w:t xml:space="preserve">4. Nach drei Monaten zählen.</w:t>
      </w:r>
      <w:r>
        <w:rPr>
          <w:color w:val="1A1A1A"/>
        </w:rPr>
        <w:t xml:space="preserve"> Werten Sie die Zeilen aus und reklamieren Sie mit der Zahl, nicht mit dem Ärger. Zeigen Sie die Liste der Person, die beim Lieferanten für Sie zuständig ist.</w:t>
      </w:r>
    </w:p>
    <w:p>
      <w:pPr>
        <w:spacing w:after="140" w:line="300" w:lineRule="auto"/>
        <w:jc w:val="both"/>
      </w:pPr>
      <w:r>
        <w:rPr>
          <w:b/>
          <w:bCs/>
          <w:color w:val="1A1A1A"/>
        </w:rPr>
        <w:t xml:space="preserve">5. Nachweise anfordern und lesen.</w:t>
      </w:r>
      <w:r>
        <w:rPr>
          <w:color w:val="1A1A1A"/>
        </w:rPr>
        <w:t xml:space="preserve"> Fragen Sie schriftlich nach dem, was für Ihr Kriterium zählt, und legen Sie die Antwort zur Liste. Wenn etwas auffällt, fragen Sie genau dazu nach.</w:t>
      </w:r>
    </w:p>
    <w:p>
      <w:pPr>
        <w:spacing w:after="140" w:line="300" w:lineRule="auto"/>
        <w:jc w:val="both"/>
      </w:pPr>
      <w:r>
        <w:rPr>
          <w:b/>
          <w:bCs/>
          <w:color w:val="1A1A1A"/>
        </w:rPr>
        <w:t xml:space="preserve">6. Den Kontakt nutzen, der ohnehin besteht.</w:t>
      </w:r>
      <w:r>
        <w:rPr>
          <w:color w:val="1A1A1A"/>
        </w:rPr>
        <w:t xml:space="preserve"> Sprechen Sie mit dem Fahrer bei der Abholung, laden Sie die Kundenbetreuerin einmal dazu ein, legen Sie Zahlen gemeinsam mit anderen kleinen Häusern vor.</w:t>
      </w:r>
    </w:p>
    <w:p>
      <w:pPr>
        <w:spacing w:after="140" w:line="300" w:lineRule="auto"/>
        <w:jc w:val="both"/>
      </w:pPr>
      <w:r>
        <w:rPr>
          <w:b/>
          <w:bCs/>
          <w:color w:val="1A1A1A"/>
        </w:rPr>
        <w:t xml:space="preserve">7. Einen Ersatz kennen und nach unten fair bleiben.</w:t>
      </w:r>
      <w:r>
        <w:rPr>
          <w:color w:val="1A1A1A"/>
        </w:rPr>
        <w:t xml:space="preserve"> Holen Sie ein Angebot ein, bevor Sie es brauchen. Kleine Lieferanten fragen Sie nur nach dem, was für den Gast zählt, mündlich und mit einer Zeile Notiz.</w:t>
      </w:r>
    </w:p>
    <w:p>
      <w:pPr>
        <w:keepNext/>
        <w:spacing w:before="260" w:after="120"/>
      </w:pPr>
      <w:r>
        <w:rPr>
          <w:b/>
          <w:bCs/>
          <w:color w:val="8C5A2B"/>
          <w:sz w:val="25"/>
          <w:szCs w:val="25"/>
        </w:rPr>
        <w:t xml:space="preserve">Prüf-Checkliste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397"/>
        <w:gridCol w:w="674"/>
        <w:gridCol w:w="674"/>
        <w:gridCol w:w="2891"/>
      </w:tblGrid>
      <w:tr>
        <w:trPr>
          <w:tblHeader/>
        </w:trPr>
        <w:tc>
          <w:tcPr>
            <w:tcW w:w="53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Frage</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Ja</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Nein</w:t>
            </w:r>
          </w:p>
        </w:tc>
        <w:tc>
          <w:tcPr>
            <w:tcW w:w="28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Nachweis / Bemerkung</w:t>
            </w:r>
          </w:p>
        </w:tc>
      </w:tr>
      <w:tr>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Wissen wir bei jedem wichtigen Lieferanten, ob wir dort ein großer oder ein kleiner Kunde sind?</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Wird jede Lieferung eines wichtigen Lieferanten beim Eingang gezählt und angesehen?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Steht jede Abweichung mit Datum auf einer Liste?</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Haben wir die Liste in den letzten drei Monaten ausgewertet?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Liegen die Nachweise, die der Lieferant anbietet, bei uns vor, und hat sie jemand gelesen?</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Kennen wir für jeden wichtigen Lieferanten einen Ersatz mit Preis?</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Fragen wir kleine Lieferanten nur nach dem, was für den Gast zählt?</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Übernehmen wir Umweltangaben eines Lieferanten nur mit Beleg in unsere Werbung?</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r>
    </w:tbl>
    <w:p>
      <w:pPr>
        <w:spacing w:after="140"/>
      </w:pPr>
    </w:p>
    <w:p>
      <w:pPr>
        <w:keepNext/>
        <w:spacing w:before="260" w:after="120"/>
      </w:pPr>
      <w:r>
        <w:rPr>
          <w:b/>
          <w:bCs/>
          <w:color w:val="8C5A2B"/>
          <w:sz w:val="25"/>
          <w:szCs w:val="25"/>
        </w:rPr>
        <w:t xml:space="preserve">Häufige Fehler</w:t>
      </w:r>
    </w:p>
    <w:p>
      <w:pPr>
        <w:spacing w:after="140" w:line="300" w:lineRule="auto"/>
        <w:jc w:val="both"/>
      </w:pPr>
      <w:r>
        <w:rPr>
          <w:b/>
          <w:bCs/>
          <w:color w:val="1A1A1A"/>
        </w:rPr>
        <w:t xml:space="preserve">Prüfen mit Hinfahren gleichsetzen.</w:t>
      </w:r>
      <w:r>
        <w:rPr>
          <w:color w:val="1A1A1A"/>
        </w:rPr>
        <w:t xml:space="preserve"> Bei der ersten Absage endet die Prüfung, bevor sie begonnen hat.</w:t>
      </w:r>
    </w:p>
    <w:p>
      <w:pPr>
        <w:spacing w:after="140" w:line="300" w:lineRule="auto"/>
        <w:jc w:val="both"/>
      </w:pPr>
      <w:r>
        <w:rPr>
          <w:b/>
          <w:bCs/>
          <w:color w:val="1A1A1A"/>
        </w:rPr>
        <w:t xml:space="preserve">Ohne Spur reklamieren.</w:t>
      </w:r>
      <w:r>
        <w:rPr>
          <w:color w:val="1A1A1A"/>
        </w:rPr>
        <w:t xml:space="preserve"> Jeder Anruf bleibt ein Einzelfall, beim Lieferanten wie im Haus.</w:t>
      </w:r>
    </w:p>
    <w:p>
      <w:pPr>
        <w:spacing w:after="140" w:line="300" w:lineRule="auto"/>
        <w:jc w:val="both"/>
      </w:pPr>
      <w:r>
        <w:rPr>
          <w:b/>
          <w:bCs/>
          <w:color w:val="1A1A1A"/>
        </w:rPr>
        <w:t xml:space="preserve">Die Wäsche direkt in den Schrank tragen.</w:t>
      </w:r>
      <w:r>
        <w:rPr>
          <w:color w:val="1A1A1A"/>
        </w:rPr>
        <w:t xml:space="preserve"> Der Gast findet dann den Fleck, den der Wareneingang hätte finden können.</w:t>
      </w:r>
    </w:p>
    <w:p>
      <w:pPr>
        <w:spacing w:after="140" w:line="300" w:lineRule="auto"/>
        <w:jc w:val="both"/>
      </w:pPr>
      <w:r>
        <w:rPr>
          <w:b/>
          <w:bCs/>
          <w:color w:val="1A1A1A"/>
        </w:rPr>
        <w:t xml:space="preserve">Angebotene Nachweise nicht anfordern.</w:t>
      </w:r>
      <w:r>
        <w:rPr>
          <w:color w:val="1A1A1A"/>
        </w:rPr>
        <w:t xml:space="preserve"> Das Haus weiß nicht, was der Lieferant über sich sagt, und kann ihn nicht daran messen.</w:t>
      </w:r>
    </w:p>
    <w:p>
      <w:pPr>
        <w:spacing w:after="140" w:line="300" w:lineRule="auto"/>
        <w:jc w:val="both"/>
      </w:pPr>
      <w:r>
        <w:rPr>
          <w:b/>
          <w:bCs/>
          <w:color w:val="1A1A1A"/>
        </w:rPr>
        <w:t xml:space="preserve">Mit dem Wechsel drohen, ohne einen Ersatz zu kennen.</w:t>
      </w:r>
      <w:r>
        <w:rPr>
          <w:color w:val="1A1A1A"/>
        </w:rPr>
        <w:t xml:space="preserve"> Die Drohung wirkt nicht, und das Haus bleibt, wo es war.</w:t>
      </w:r>
    </w:p>
    <w:p>
      <w:pPr>
        <w:spacing w:after="140" w:line="300" w:lineRule="auto"/>
        <w:jc w:val="both"/>
      </w:pPr>
      <w:r>
        <w:rPr>
          <w:b/>
          <w:bCs/>
          <w:color w:val="1A1A1A"/>
        </w:rPr>
        <w:t xml:space="preserve">Die Last an den Kleinen weitergeben.</w:t>
      </w:r>
      <w:r>
        <w:rPr>
          <w:color w:val="1A1A1A"/>
        </w:rPr>
        <w:t xml:space="preserve"> Ein Fragebogen von vier Seiten an den Bäcker kostet Vertrauen und bringt keine Steuerung.</w:t>
      </w:r>
    </w:p>
    <w:p>
      <w:pPr>
        <w:keepNext/>
        <w:spacing w:before="260" w:after="120"/>
      </w:pPr>
      <w:r>
        <w:rPr>
          <w:b/>
          <w:bCs/>
          <w:color w:val="8C5A2B"/>
          <w:sz w:val="25"/>
          <w:szCs w:val="25"/>
        </w:rPr>
        <w:t xml:space="preserve">Modellrechnung</w:t>
      </w:r>
    </w:p>
    <w:p>
      <w:pPr>
        <w:keepNext/>
        <w:spacing w:before="160" w:after="90"/>
      </w:pPr>
      <w:r>
        <w:rPr>
          <w:b/>
          <w:bCs/>
          <w:color w:val="5A5A5A"/>
          <w:sz w:val="18"/>
          <w:szCs w:val="18"/>
        </w:rPr>
        <w:t xml:space="preserve">Modellannahme, kein belegter Branchenwert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855"/>
        <w:gridCol w:w="1445"/>
        <w:gridCol w:w="2409"/>
        <w:gridCol w:w="1927"/>
      </w:tblGrid>
      <w:tr>
        <w:trPr>
          <w:tblHeader/>
        </w:trPr>
        <w:tc>
          <w:tcPr>
            <w:tcW w:w="385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Posten</w:t>
            </w:r>
          </w:p>
        </w:tc>
        <w:tc>
          <w:tcPr>
            <w:tcW w:w="144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Betrag</w:t>
            </w:r>
          </w:p>
        </w:tc>
        <w:tc>
          <w:tcPr>
            <w:tcW w:w="240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Anmerkung</w:t>
            </w:r>
          </w:p>
        </w:tc>
        <w:tc>
          <w:tcPr>
            <w:tcW w:w="192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Eigener Wert</w:t>
            </w:r>
          </w:p>
        </w:tc>
      </w:tr>
      <w:tr>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Mietwäsche: rund 2.700 Zimmernächte zu € 7,80</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€ 21.060</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jährlich</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Wareneingang: 2 Lieferungen × 10 Min. × 40 Wochen = 13,3 Std. × € 18</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€ 240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jährlich; Lohnkosten der Zimmerfrau</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Liste führen und viermal im Jahr auswerten: 6 Std. × € 40</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€ 240</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jährlich; Stundenwert des Inhabers</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Nachweise anfordern, lesen, Gespräch bei der Abholung: 4 Std. × € 40</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€ 160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einmalig</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Gutschriften für belegte Fehlmengen</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€ 290</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Annahme für ein Jahr</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Audit bei der Wäscherei, wäre es möglich: 1 Tag mit Anfahrt, 10 Std. × € 40</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€ 400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zum Vergleich; abgelehnt</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w:r>
          </w:p>
        </w:tc>
      </w:tr>
    </w:tbl>
    <w:p>
      <w:pPr>
        <w:spacing w:after="140"/>
      </w:pPr>
    </w:p>
    <w:p>
      <w:pPr>
        <w:spacing w:after="140" w:line="300" w:lineRule="auto"/>
        <w:jc w:val="both"/>
      </w:pPr>
      <w:r>
        <w:rPr>
          <w:color w:val="1A1A1A"/>
        </w:rPr>
        <w:t xml:space="preserve">Die Prüfung an der eigenen Tür kostet die Pension im ersten Jahr € 640 an bewerteten Stunden, rund drei Prozent der Wäscherechnung. Die Gutschriften sind eine Annahme und decken nur einen Teil davon. Gewonnen hat Frank vor allem etwas, das sich nicht in Euro rechnet: Er weiß jetzt, was ankommt, und er kann es belegen. Ein Audit bei der Wäscherei hätte weniger Stunden gekostet, ihm aber nur einen einzigen Tag gezeigt.</w:t>
      </w:r>
    </w:p>
    <w:p>
      <w:pPr>
        <w:keepNext/>
        <w:spacing w:before="260" w:after="120"/>
      </w:pPr>
      <w:r>
        <w:rPr>
          <w:b/>
          <w:bCs/>
          <w:color w:val="8C5A2B"/>
          <w:sz w:val="25"/>
          <w:szCs w:val="25"/>
        </w:rPr>
        <w:t xml:space="preserve">Was verlangt ist und was nur Anleitung ist</w:t>
      </w:r>
    </w:p>
    <w:p>
      <w:pPr>
        <w:keepNext/>
        <w:spacing w:before="160" w:after="90"/>
      </w:pPr>
      <w:r>
        <w:rPr>
          <w:b/>
          <w:bCs/>
          <w:color w:val="5A5A5A"/>
          <w:sz w:val="18"/>
          <w:szCs w:val="18"/>
        </w:rPr>
        <w:t xml:space="preserve">Tabelle 4 — Was verlangt ist, und was nur Anleitung ist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74"/>
        <w:gridCol w:w="3380"/>
        <w:gridCol w:w="3383"/>
      </w:tblGrid>
      <w:tr>
        <w:trPr>
          <w:tblHeader/>
        </w:trPr>
        <w:tc>
          <w:tcPr>
            <w:tcW w:w="28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Verlangt</w:t>
            </w:r>
          </w:p>
        </w:tc>
        <w:tc>
          <w:tcPr>
            <w:tcW w:w="3380"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Was es im kleinen Haus belegt</w:t>
            </w:r>
          </w:p>
        </w:tc>
        <w:tc>
          <w:tcPr>
            <w:tcW w:w="3383"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Nur Leitfaden oder Methode</w:t>
            </w:r>
          </w:p>
        </w:tc>
      </w:tr>
      <w:tr>
        <w:trPr>
          <w:cantSplit/>
        </w:trPr>
        <w:tc>
          <w:tcPr>
            <w:tcW w:w="28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Relevante externe Leistungen steuern (8.1)</w:t>
            </w:r>
          </w:p>
        </w:tc>
        <w:tc>
          <w:tcPr>
            <w:tcW w:w="338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Lieferantenliste mit Kriterium, Ersatz und Datum des letzten Blicks</w:t>
            </w:r>
          </w:p>
        </w:tc>
        <w:tc>
          <w:tcPr>
            <w:tcW w:w="338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Methode: Stellung des Hauses je Lieferant notieren</w:t>
            </w:r>
          </w:p>
        </w:tc>
      </w:tr>
      <w:tr>
        <w:trPr>
          <w:cantSplit/>
        </w:trPr>
        <w:tc>
          <w:tcPr>
            <w:tcW w:w="28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Nach Kriterien steuern (8.1)</w:t>
            </w:r>
          </w:p>
        </w:tc>
        <w:tc>
          <w:tcPr>
            <w:tcW w:w="338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Wareneingang mit Zählung und Stichprobe; Notiz auf dem Lieferschein</w:t>
            </w:r>
          </w:p>
        </w:tc>
        <w:tc>
          <w:tcPr>
            <w:tcW w:w="338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Handbuch: Wareneingangsprüfung, unterschriebener Lieferschein</w:t>
            </w:r>
          </w:p>
        </w:tc>
      </w:tr>
      <w:tr>
        <w:trPr>
          <w:cantSplit/>
        </w:trPr>
        <w:tc>
          <w:tcPr>
            <w:tcW w:w="28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Dokumentierte Information im nötigen Umfang (8.1)</w:t>
            </w:r>
          </w:p>
        </w:tc>
        <w:tc>
          <w:tcPr>
            <w:tcW w:w="338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Reklamationsliste, nach drei Monaten ausgewertet</w:t>
            </w:r>
          </w:p>
        </w:tc>
        <w:tc>
          <w:tcPr>
            <w:tcW w:w="338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Handbuch: Leistungsdaten auswerten</w:t>
            </w:r>
          </w:p>
        </w:tc>
      </w:tr>
      <w:tr>
        <w:trPr>
          <w:cantSplit/>
        </w:trPr>
        <w:tc>
          <w:tcPr>
            <w:tcW w:w="28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Folgen unbeabsichtigter Änderungen prüfen (8.1)</w:t>
            </w:r>
          </w:p>
        </w:tc>
        <w:tc>
          <w:tcPr>
            <w:tcW w:w="338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Zeile zum fremden Waschlappen; Nachweise angefordert</w:t>
            </w:r>
          </w:p>
        </w:tc>
        <w:tc>
          <w:tcPr>
            <w:tcW w:w="338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Methode: Nachweis anfordern, wenn etwas auffällt</w:t>
            </w:r>
          </w:p>
        </w:tc>
      </w:tr>
      <w:tr>
        <w:trPr>
          <w:cantSplit/>
        </w:trPr>
        <w:tc>
          <w:tcPr>
            <w:tcW w:w="28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Internes Audit der eigenen Steuerung (9.2)</w:t>
            </w:r>
          </w:p>
        </w:tc>
        <w:tc>
          <w:tcPr>
            <w:tcW w:w="338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Feststellung der Kreuzauditorin und ihre Nachverfolgung</w:t>
            </w:r>
          </w:p>
        </w:tc>
        <w:tc>
          <w:tcPr>
            <w:tcW w:w="338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ISO 19011:2026: faktengestützter Ansatz</w:t>
            </w:r>
          </w:p>
        </w:tc>
      </w:tr>
      <w:tr>
        <w:trPr>
          <w:cantSplit/>
        </w:trPr>
        <w:tc>
          <w:tcPr>
            <w:tcW w:w="28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Anforderungen an externe Anbieter nach ISO 9001</w:t>
            </w:r>
          </w:p>
        </w:tc>
        <w:tc>
          <w:tcPr>
            <w:tcW w:w="338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im Einzelnen, wo das Haus ISO 9001 anwendet</w:t>
            </w:r>
          </w:p>
        </w:tc>
        <w:tc>
          <w:tcPr>
            <w:tcW w:w="338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Band 2a der Reihe</w:t>
            </w:r>
          </w:p>
        </w:tc>
      </w:tr>
    </w:tbl>
    <w:p>
      <w:pPr>
        <w:keepNext/>
        <w:spacing w:before="260" w:after="120"/>
      </w:pPr>
      <w:r>
        <w:rPr>
          <w:b/>
          <w:bCs/>
          <w:color w:val="8C5A2B"/>
          <w:sz w:val="25"/>
          <w:szCs w:val="25"/>
        </w:rPr>
        <w:t xml:space="preserve">Der Rahmen in Deutschland, Österreich und der Schweiz</w:t>
      </w:r>
    </w:p>
    <w:p>
      <w:pPr>
        <w:keepNext/>
        <w:spacing w:before="160" w:after="90"/>
      </w:pPr>
      <w:r>
        <w:rPr>
          <w:b/>
          <w:bCs/>
          <w:color w:val="5A5A5A"/>
          <w:sz w:val="18"/>
          <w:szCs w:val="18"/>
        </w:rPr>
        <w:t xml:space="preserve">Tabelle 5 — DACH-Anker: Pflichten, die beim kleinen Kunden bleiben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26"/>
        <w:gridCol w:w="2569"/>
        <w:gridCol w:w="2569"/>
        <w:gridCol w:w="2571"/>
      </w:tblGrid>
      <w:tr>
        <w:trPr>
          <w:tblHeader/>
        </w:trPr>
        <w:tc>
          <w:tcPr>
            <w:tcW w:w="1926"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Ebene</w:t>
            </w:r>
          </w:p>
        </w:tc>
        <w:tc>
          <w:tcPr>
            <w:tcW w:w="256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Deutschland</w:t>
            </w:r>
          </w:p>
        </w:tc>
        <w:tc>
          <w:tcPr>
            <w:tcW w:w="256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Österreich</w:t>
            </w:r>
          </w:p>
        </w:tc>
        <w:tc>
          <w:tcPr>
            <w:tcW w:w="257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Schweiz</w:t>
            </w:r>
          </w:p>
        </w:tc>
      </w:tr>
      <w:tr>
        <w:trPr>
          <w:cantSplit/>
        </w:trPr>
        <w:tc>
          <w:tcPr>
            <w:tcW w:w="1926"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Lebensmittel vom Lieferanten</w:t>
            </w:r>
          </w:p>
        </w:tc>
        <w:tc>
          <w:tcPr>
            <w:tcW w:w="256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Verfahren nach HACCP-Grundsätzen; Dokumente der Art und Größe angemessen (Art. 5 VO 852/2004)</w:t>
            </w:r>
          </w:p>
        </w:tc>
        <w:tc>
          <w:tcPr>
            <w:tcW w:w="256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wie Deutschland, EU-Recht</w:t>
            </w:r>
          </w:p>
        </w:tc>
        <w:tc>
          <w:tcPr>
            <w:tcW w:w="257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Lebensmittelrecht des Bundes, kantonaler Vollzug</w:t>
            </w:r>
          </w:p>
        </w:tc>
      </w:tr>
      <w:tr>
        <w:trPr>
          <w:cantSplit/>
        </w:trPr>
        <w:tc>
          <w:tcPr>
            <w:tcW w:w="192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Zutaten bei Rezepturänderung</w:t>
            </w:r>
          </w:p>
        </w:tc>
        <w:tc>
          <w:tcPr>
            <w:tcW w:w="256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mündliche Allergenauskunft nur mit Aufzeichnung der Zutaten (§ 4 Abs. 4 LMIDV)</w:t>
            </w:r>
          </w:p>
        </w:tc>
        <w:tc>
          <w:tcPr>
            <w:tcW w:w="256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mündlich durch geschulte Personen mit Hinweis (BGBl. II Nr. 175/2014)</w:t>
            </w:r>
          </w:p>
        </w:tc>
        <w:tc>
          <w:tcPr>
            <w:tcW w:w="257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schriftliche Angaben für das Personal oder fachkundige Person (Art. 5 LIV)</w:t>
            </w:r>
          </w:p>
        </w:tc>
      </w:tr>
      <w:tr>
        <w:trPr>
          <w:cantSplit/>
        </w:trPr>
        <w:tc>
          <w:tcPr>
            <w:tcW w:w="1926"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Werbung mit Angaben des Lieferanten</w:t>
            </w:r>
          </w:p>
        </w:tc>
        <w:tc>
          <w:tcPr>
            <w:tcW w:w="256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UWG, Anhang Nr. 4a und 4b, seit 27.09.2026</w:t>
            </w:r>
          </w:p>
        </w:tc>
        <w:tc>
          <w:tcPr>
            <w:tcW w:w="256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UWG-Novelle BGBl. I Nr. 58/2026, dieselbe Richtlinie, seit 27.09.2026</w:t>
            </w:r>
          </w:p>
        </w:tc>
        <w:tc>
          <w:tcPr>
            <w:tcW w:w="257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Klimaaussagen nur mit überprüfbaren Grundlagen (Art. 3 Abs. 1 lit. x UWG)</w:t>
            </w:r>
          </w:p>
        </w:tc>
      </w:tr>
      <w:tr>
        <w:trPr>
          <w:cantSplit/>
        </w:trPr>
        <w:tc>
          <w:tcPr>
            <w:tcW w:w="192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Gästedaten bei Dienstleistern</w:t>
            </w:r>
          </w:p>
        </w:tc>
        <w:tc>
          <w:tcPr>
            <w:tcW w:w="256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DSGVO</w:t>
            </w:r>
          </w:p>
        </w:tc>
        <w:tc>
          <w:tcPr>
            <w:tcW w:w="256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DSGVO</w:t>
            </w:r>
          </w:p>
        </w:tc>
        <w:tc>
          <w:tcPr>
            <w:tcW w:w="257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Datenschutzgesetz</w:t>
            </w:r>
          </w:p>
        </w:tc>
      </w:tr>
      <w:tr>
        <w:trPr>
          <w:cantSplit/>
        </w:trPr>
        <w:tc>
          <w:tcPr>
            <w:tcW w:w="1926"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Entscheidung über einen Rechtsverstoß</w:t>
            </w:r>
          </w:p>
        </w:tc>
        <w:tc>
          <w:tcPr>
            <w:tcW w:w="256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Behörde oder Gericht; das Audit bewertet Nachweise gegen Kriterien</w:t>
            </w:r>
          </w:p>
        </w:tc>
        <w:tc>
          <w:tcPr>
            <w:tcW w:w="256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ebenso</w:t>
            </w:r>
          </w:p>
        </w:tc>
        <w:tc>
          <w:tcPr>
            <w:tcW w:w="257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ebenso</w:t>
            </w:r>
          </w:p>
        </w:tc>
      </w:tr>
    </w:tbl>
    <w:p>
      <w:r>
        <w:rPr>
          <w:b w:val="0"/>
          <w:i/>
          <w:sz w:val="18"/>
        </w:rPr>
        <w:t>Stand der Tabelle: 24. Oktober 2026. Die laufende Fassung aller DACH-Anker des Bandes, mit der geltenden Angabe und der Quelle jeder Änderung, führt die Plattform in der Datei «Band9b_Rechtsanker_DACH_laufend».</w:t>
      </w:r>
    </w:p>
    <w:p>
      <w:r>
        <w:rPr>
          <w:b w:val="0"/>
          <w:i w:val="0"/>
          <w:color w:val="8C5A2B"/>
          <w:sz w:val="17"/>
        </w:rPr>
        <w:t>Quelle: Francesco Dore, Das Steuer und die Lupe, Band 9b — Kleine Betriebe: Prüfen, wo jeder alles macht, Abschnitt 3.14. Edizioni Effedore 2026. © 2026 Francesco Dore. Zur Verwendung im eigenen Betrieb frei bearbeitbar. buecher.effedore.com</w:t>
      </w:r>
    </w:p>
    <w:sectPr w:rsidR="00893D66" w:rsidSect="00E0727B">
      <w:footerReference w:type="default" r:id="rId11"/>
      <w:pgSz w:w="11906" w:h="16838"/>
      <w:pgMar w:top="1134" w:right="1134" w:bottom="1134" w:left="1134" w:header="567" w:footer="567" w:gutter="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E898F0" w14:textId="77777777" w:rsidR="005C5ED4" w:rsidRDefault="005C5ED4">
      <w:r>
        <w:separator/>
      </w:r>
    </w:p>
  </w:endnote>
  <w:endnote w:type="continuationSeparator" w:id="0">
    <w:p w14:paraId="06E3297C" w14:textId="77777777" w:rsidR="005C5ED4" w:rsidRDefault="005C5E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8C5A2B"/>
        <w:sz w:val="16"/>
      </w:rPr>
      <w:t xml:space="preserve">Das Steuer und die Lupe · Band 9b · Arbeitsmaterial 3.14 · buecher.effedore.com · Seite </w:t>
    </w:r>
    <w:r>
      <w:rPr>
        <w:color w:val="8C5A2B"/>
        <w:sz w:val="16"/>
      </w:rPr>
      <w:fldChar w:fldCharType="begin"/>
      <w:instrText xml:space="preserve"> PAGE </w:instrText>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58FF92" w14:textId="77777777" w:rsidR="005C5ED4" w:rsidRDefault="005C5ED4">
      <w:r>
        <w:separator/>
      </w:r>
    </w:p>
  </w:footnote>
  <w:footnote w:type="continuationSeparator" w:id="0">
    <w:p w14:paraId="3DE21110" w14:textId="77777777" w:rsidR="005C5ED4" w:rsidRDefault="005C5E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956FB0"/>
    <w:multiLevelType w:val="hybridMultilevel"/>
    <w:tmpl w:val="0F28D4BC"/>
    <w:lvl w:ilvl="0" w:tplc="BCA488E2">
      <w:start w:val="1"/>
      <w:numFmt w:val="bullet"/>
      <w:lvlText w:val="●"/>
      <w:lvlJc w:val="left"/>
      <w:pPr>
        <w:ind w:left="720" w:hanging="360"/>
      </w:pPr>
    </w:lvl>
    <w:lvl w:ilvl="1" w:tplc="E65E494E">
      <w:start w:val="1"/>
      <w:numFmt w:val="bullet"/>
      <w:lvlText w:val="○"/>
      <w:lvlJc w:val="left"/>
      <w:pPr>
        <w:ind w:left="1440" w:hanging="360"/>
      </w:pPr>
    </w:lvl>
    <w:lvl w:ilvl="2" w:tplc="B37C42D6">
      <w:start w:val="1"/>
      <w:numFmt w:val="bullet"/>
      <w:lvlText w:val="■"/>
      <w:lvlJc w:val="left"/>
      <w:pPr>
        <w:ind w:left="2160" w:hanging="360"/>
      </w:pPr>
    </w:lvl>
    <w:lvl w:ilvl="3" w:tplc="8AA6791E">
      <w:start w:val="1"/>
      <w:numFmt w:val="bullet"/>
      <w:lvlText w:val="●"/>
      <w:lvlJc w:val="left"/>
      <w:pPr>
        <w:ind w:left="2880" w:hanging="360"/>
      </w:pPr>
    </w:lvl>
    <w:lvl w:ilvl="4" w:tplc="12161D86">
      <w:start w:val="1"/>
      <w:numFmt w:val="bullet"/>
      <w:lvlText w:val="○"/>
      <w:lvlJc w:val="left"/>
      <w:pPr>
        <w:ind w:left="3600" w:hanging="360"/>
      </w:pPr>
    </w:lvl>
    <w:lvl w:ilvl="5" w:tplc="E9A63256">
      <w:start w:val="1"/>
      <w:numFmt w:val="bullet"/>
      <w:lvlText w:val="■"/>
      <w:lvlJc w:val="left"/>
      <w:pPr>
        <w:ind w:left="4320" w:hanging="360"/>
      </w:pPr>
    </w:lvl>
    <w:lvl w:ilvl="6" w:tplc="99C46150">
      <w:start w:val="1"/>
      <w:numFmt w:val="bullet"/>
      <w:lvlText w:val="●"/>
      <w:lvlJc w:val="left"/>
      <w:pPr>
        <w:ind w:left="5040" w:hanging="360"/>
      </w:pPr>
    </w:lvl>
    <w:lvl w:ilvl="7" w:tplc="90045C06">
      <w:start w:val="1"/>
      <w:numFmt w:val="bullet"/>
      <w:lvlText w:val="●"/>
      <w:lvlJc w:val="left"/>
      <w:pPr>
        <w:ind w:left="5760" w:hanging="360"/>
      </w:pPr>
    </w:lvl>
    <w:lvl w:ilvl="8" w:tplc="DE2AB570">
      <w:start w:val="1"/>
      <w:numFmt w:val="bullet"/>
      <w:lvlText w:val="●"/>
      <w:lvlJc w:val="left"/>
      <w:pPr>
        <w:ind w:left="6480" w:hanging="360"/>
      </w:pPr>
    </w:lvl>
  </w:abstractNum>
  <w:num w:numId="1" w16cid:durableId="107585453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D66"/>
    <w:rsid w:val="000F5A2A"/>
    <w:rsid w:val="001F247D"/>
    <w:rsid w:val="00325891"/>
    <w:rsid w:val="003262EA"/>
    <w:rsid w:val="00361E33"/>
    <w:rsid w:val="003E7269"/>
    <w:rsid w:val="0042253C"/>
    <w:rsid w:val="0048736D"/>
    <w:rsid w:val="004C4293"/>
    <w:rsid w:val="004E3DB7"/>
    <w:rsid w:val="00517ED3"/>
    <w:rsid w:val="005C5ED4"/>
    <w:rsid w:val="006C3DF7"/>
    <w:rsid w:val="006E776D"/>
    <w:rsid w:val="006F43C8"/>
    <w:rsid w:val="007B14DD"/>
    <w:rsid w:val="007F46C8"/>
    <w:rsid w:val="0080511E"/>
    <w:rsid w:val="00893D66"/>
    <w:rsid w:val="00951724"/>
    <w:rsid w:val="009757EA"/>
    <w:rsid w:val="009A5878"/>
    <w:rsid w:val="009D38DB"/>
    <w:rsid w:val="00A16342"/>
    <w:rsid w:val="00A3444B"/>
    <w:rsid w:val="00AD2143"/>
    <w:rsid w:val="00BA1407"/>
    <w:rsid w:val="00BA686C"/>
    <w:rsid w:val="00C351D3"/>
    <w:rsid w:val="00C77855"/>
    <w:rsid w:val="00CC288F"/>
    <w:rsid w:val="00D353B5"/>
    <w:rsid w:val="00D35B73"/>
    <w:rsid w:val="00D734D4"/>
    <w:rsid w:val="00E03DD0"/>
    <w:rsid w:val="00E0727B"/>
    <w:rsid w:val="00E60403"/>
    <w:rsid w:val="00F362ED"/>
    <w:rsid w:val="00F979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2714A"/>
  <w15:docId w15:val="{E50A5B75-4A9B-44AA-8215-52D4A423F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1"/>
        <w:szCs w:val="21"/>
        <w:lang w:val="de-DE"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b/>
      <w:bCs/>
      <w:color w:val="002060"/>
      <w:sz w:val="36"/>
      <w:szCs w:val="36"/>
    </w:rPr>
  </w:style>
  <w:style w:type="paragraph" w:styleId="Titolo2">
    <w:name w:val="heading 2"/>
    <w:uiPriority w:val="9"/>
    <w:unhideWhenUsed/>
    <w:qFormat/>
    <w:pPr>
      <w:outlineLvl w:val="1"/>
    </w:pPr>
    <w:rPr>
      <w:b/>
      <w:bCs/>
      <w:color w:val="002060"/>
      <w:sz w:val="30"/>
      <w:szCs w:val="30"/>
    </w:rPr>
  </w:style>
  <w:style w:type="paragraph" w:styleId="Titolo3">
    <w:name w:val="heading 3"/>
    <w:uiPriority w:val="9"/>
    <w:unhideWhenUsed/>
    <w:qFormat/>
    <w:pPr>
      <w:outlineLvl w:val="2"/>
    </w:pPr>
    <w:rPr>
      <w:b/>
      <w:bCs/>
      <w:color w:val="002060"/>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Sommario1">
    <w:name w:val="toc 1"/>
    <w:basedOn w:val="Normale"/>
    <w:next w:val="Normale"/>
    <w:autoRedefine/>
    <w:uiPriority w:val="39"/>
    <w:unhideWhenUsed/>
    <w:rsid w:val="003E7269"/>
    <w:pPr>
      <w:spacing w:after="100"/>
    </w:pPr>
  </w:style>
  <w:style w:type="paragraph" w:styleId="Sommario2">
    <w:name w:val="toc 2"/>
    <w:basedOn w:val="Normale"/>
    <w:next w:val="Normale"/>
    <w:autoRedefine/>
    <w:uiPriority w:val="39"/>
    <w:unhideWhenUsed/>
    <w:rsid w:val="003E7269"/>
    <w:pPr>
      <w:spacing w:after="100"/>
      <w:ind w:left="210"/>
    </w:pPr>
  </w:style>
  <w:style w:type="paragraph" w:styleId="Titolosommario">
    <w:name w:val="TOC Heading"/>
    <w:basedOn w:val="Titolo1"/>
    <w:next w:val="Normale"/>
    <w:uiPriority w:val="39"/>
    <w:unhideWhenUsed/>
    <w:qFormat/>
    <w:rsid w:val="00E03DD0"/>
    <w:pPr>
      <w:keepNext/>
      <w:keepLines/>
      <w:spacing w:before="240" w:line="259" w:lineRule="auto"/>
      <w:outlineLvl w:val="9"/>
    </w:pPr>
    <w:rPr>
      <w:rFonts w:asciiTheme="majorHAnsi" w:eastAsiaTheme="majorEastAsia" w:hAnsiTheme="majorHAnsi" w:cstheme="majorBidi"/>
      <w:b w:val="0"/>
      <w:bCs w:val="0"/>
      <w:color w:val="0F4761" w:themeColor="accent1" w:themeShade="BF"/>
      <w:sz w:val="32"/>
      <w:szCs w:val="32"/>
      <w:lang w:val="it-IT"/>
    </w:rPr>
  </w:style>
  <w:style w:type="paragraph" w:styleId="Testocommento">
    <w:name w:val="annotation text"/>
    <w:basedOn w:val="Normale"/>
    <w:link w:val="TestocommentoCarattere"/>
    <w:uiPriority w:val="99"/>
    <w:semiHidden/>
    <w:unhideWhenUsed/>
    <w:rPr>
      <w:sz w:val="20"/>
      <w:szCs w:val="20"/>
    </w:rPr>
  </w:style>
  <w:style w:type="character" w:customStyle="1" w:styleId="TestocommentoCarattere">
    <w:name w:val="Testo commento Carattere"/>
    <w:basedOn w:val="Carpredefinitoparagrafo"/>
    <w:link w:val="Testocommento"/>
    <w:uiPriority w:val="99"/>
    <w:semiHidden/>
    <w:rPr>
      <w:sz w:val="20"/>
      <w:szCs w:val="20"/>
    </w:rPr>
  </w:style>
  <w:style w:type="character" w:styleId="Rimandocommento">
    <w:name w:val="annotation reference"/>
    <w:basedOn w:val="Carpredefinitoparagrafo"/>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4" Type="http://schemas.openxmlformats.org/officeDocument/2006/relationships/theme" Target="theme/theme1.xml"/><Relationship Id="rId4" Type="http://schemas.openxmlformats.org/officeDocument/2006/relationships/settings" Target="settings.xml"/><Relationship Id="rId43" Type="http://schemas.openxmlformats.org/officeDocument/2006/relationships/fontTable" Target="fontTable.xml"/><Relationship Id="rId3" Type="http://schemas.openxmlformats.org/officeDocument/2006/relationships/styles" Target="styles.xml"/><Relationship Id="rId11"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836847-F38A-4C5D-89BB-879B679EFE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579</Pages>
  <Words>155052</Words>
  <Characters>883797</Characters>
  <Application>Microsoft Office Word</Application>
  <DocSecurity>0</DocSecurity>
  <Lines>7364</Lines>
  <Paragraphs>2073</Paragraphs>
  <ScaleCrop>false</ScaleCrop>
  <HeadingPairs>
    <vt:vector size="2" baseType="variant">
      <vt:variant>
        <vt:lpstr>Titolo</vt:lpstr>
      </vt:variant>
      <vt:variant>
        <vt:i4>1</vt:i4>
      </vt:variant>
    </vt:vector>
  </HeadingPairs>
  <TitlesOfParts>
    <vt:vector size="1" baseType="lpstr">
      <vt:lpstr>Das Steuer und die Lupe — Band 7a — EMAS — Das Haus im Register</vt:lpstr>
    </vt:vector>
  </TitlesOfParts>
  <Company/>
  <LinksUpToDate>false</LinksUpToDate>
  <CharactersWithSpaces>1036776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Das Steuer und die Lupe — Band 9b — Kleine Betriebe — Prüfen, wo jeder alles macht</dc:title>
  <dc:creator>Francesco Dore</dc:creator>
  <cp:lastModifiedBy>Francesco Dore</cp:lastModifiedBy>
  <cp:revision>2</cp:revision>
  <cp:lastPrinted>2026-10-07T13:27:00Z</cp:lastPrinted>
  <dcterms:created xsi:type="dcterms:W3CDTF">2026-10-20T21:21:00Z</dcterms:created>
  <dcterms:modified xsi:type="dcterms:W3CDTF">2026-10-20T21:21:00Z</dcterms:modified>
</cp:coreProperties>
</file>