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3.15</w:t>
      </w:r>
    </w:p>
    <w:p>
      <w:r>
        <w:rPr>
          <w:b/>
          <w:i w:val="0"/>
          <w:sz w:val="24"/>
        </w:rPr>
        <w:t>Eine Prüfkultur im kleinen Haus</w:t>
      </w:r>
    </w:p>
    <w:p>
      <w:r>
        <w:rPr>
          <w:b w:val="0"/>
          <w:i/>
          <w:sz w:val="20"/>
        </w:rPr>
        <w:t>Eine Prüfkultur verankern: Befunde willkommen heißen, auch wenn sie die Inhaberin betreffen, und das Kreuzaudit als feste Nachbarschaft.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Wann hat in Ihrem Haus zuletzt jemand einen Befund über Ihre eigene Arbeit aufgeschrieben, und was haben Sie darauf gesagt? Und mit wem würden Sie einander Jahr für Jahr in die Küche schauen lassen?</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Fünf Gewohnheiten einer Prüfkultur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4"/>
        <w:gridCol w:w="3766"/>
        <w:gridCol w:w="3767"/>
      </w:tblGrid>
      <w:tr>
        <w:trPr>
          <w:tblHeader/>
        </w:trPr>
        <w:tc>
          <w:tcPr>
            <w:tcW w:w="210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Gewohnheit</w:t>
            </w:r>
          </w:p>
        </w:tc>
        <w:tc>
          <w:tcPr>
            <w:tcW w:w="376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Woran man sie erkennt</w:t>
            </w:r>
          </w:p>
        </w:tc>
        <w:tc>
          <w:tcPr>
            <w:tcW w:w="376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In Alpbach</w:t>
            </w:r>
          </w:p>
        </w:tc>
      </w:tr>
      <w:tr>
        <w:trPr>
          <w:cantSplit/>
        </w:trPr>
        <w:tc>
          <w:tcPr>
            <w:tcW w:w="210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Befunde willkommen, auch oben</w:t>
            </w:r>
          </w:p>
        </w:tc>
        <w:tc>
          <w:tcPr>
            <w:tcW w:w="376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Die Inhaberin nimmt den Befund über sich selbst als Information</w:t>
            </w:r>
          </w:p>
        </w:tc>
        <w:tc>
          <w:tcPr>
            <w:tcW w:w="37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«Schreib es so hin.»</w:t>
            </w:r>
          </w:p>
        </w:tc>
      </w:tr>
      <w:tr>
        <w:trPr>
          <w:cantSplit/>
        </w:trPr>
        <w:tc>
          <w:tcPr>
            <w:tcW w:w="21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Fester Platz im Jahr</w:t>
            </w:r>
          </w:p>
        </w:tc>
        <w:tc>
          <w:tcPr>
            <w:tcW w:w="376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Termine für zwei Jahre; Nachverfolgung eingeplant</w:t>
            </w:r>
          </w:p>
        </w:tc>
        <w:tc>
          <w:tcPr>
            <w:tcW w:w="37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Wildschönau im Februar, Alpbach im Herbst, Nachverfolgung im September</w:t>
            </w:r>
          </w:p>
        </w:tc>
      </w:tr>
      <w:tr>
        <w:trPr>
          <w:cantSplit/>
        </w:trPr>
        <w:tc>
          <w:tcPr>
            <w:tcW w:w="210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Gleichgewicht der Befunde</w:t>
            </w:r>
          </w:p>
        </w:tc>
        <w:tc>
          <w:tcPr>
            <w:tcW w:w="376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Stärken mit Kriterium und Nachweis</w:t>
            </w:r>
          </w:p>
        </w:tc>
        <w:tc>
          <w:tcPr>
            <w:tcW w:w="37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Kühlzelle als Stärke im Bericht</w:t>
            </w:r>
          </w:p>
        </w:tc>
      </w:tr>
      <w:tr>
        <w:trPr>
          <w:cantSplit/>
        </w:trPr>
        <w:tc>
          <w:tcPr>
            <w:tcW w:w="21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Dauerhafte Nachbarschaft</w:t>
            </w:r>
          </w:p>
        </w:tc>
        <w:tc>
          <w:tcPr>
            <w:tcW w:w="376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Vereinbarung jährlich erneuert; dritte Person lernt mit</w:t>
            </w:r>
          </w:p>
        </w:tc>
        <w:tc>
          <w:tcPr>
            <w:tcW w:w="37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Elias prüft in der Wildschönau, nicht im eigenen Haus</w:t>
            </w:r>
          </w:p>
        </w:tc>
      </w:tr>
      <w:tr>
        <w:trPr>
          <w:cantSplit/>
        </w:trPr>
        <w:tc>
          <w:tcPr>
            <w:tcW w:w="210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Vertrauen im Umgang mit Daten</w:t>
            </w:r>
          </w:p>
        </w:tc>
        <w:tc>
          <w:tcPr>
            <w:tcW w:w="376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Einsicht nur in das Erforderliche</w:t>
            </w:r>
          </w:p>
        </w:tc>
        <w:tc>
          <w:tcPr>
            <w:tcW w:w="37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Gästeseiten des Hefts nicht geöffnet; im Verzeichnis nur Datum und Handschrift</w:t>
            </w:r>
          </w:p>
        </w:tc>
      </w:tr>
    </w:tbl>
    <w:p>
      <w:pPr>
        <w:keepNext/>
        <w:spacing w:before="260" w:after="120"/>
      </w:pPr>
      <w:r>
        <w:rPr>
          <w:b/>
          <w:bCs/>
          <w:color w:val="8C5A2B"/>
          <w:sz w:val="25"/>
          <w:szCs w:val="25"/>
        </w:rPr>
        <w:t xml:space="preserve">Praktische Anwendung: eine Prüfkultur in sieben Schritten verankern</w:t>
      </w:r>
    </w:p>
    <w:p>
      <w:pPr>
        <w:spacing w:after="140" w:line="300" w:lineRule="auto"/>
        <w:jc w:val="both"/>
      </w:pPr>
      <w:r>
        <w:rPr>
          <w:b/>
          <w:bCs/>
          <w:color w:val="1A1A1A"/>
        </w:rPr>
        <w:t xml:space="preserve">1. Den eigenen Bereich zuerst prüfen lassen.</w:t>
      </w:r>
      <w:r>
        <w:rPr>
          <w:color w:val="1A1A1A"/>
        </w:rPr>
        <w:t xml:space="preserve"> Die Inhaberin bittet die Prüferin ausdrücklich, auch ihre eigenen Aufgaben anzusehen: Managementbewertung, Liste der Pflichten, Zuständigkeiten. So steht von Anfang an fest, dass oben nichts ausgenommen ist.</w:t>
      </w:r>
    </w:p>
    <w:p>
      <w:pPr>
        <w:spacing w:after="140" w:line="300" w:lineRule="auto"/>
        <w:jc w:val="both"/>
      </w:pPr>
      <w:r>
        <w:rPr>
          <w:b/>
          <w:bCs/>
          <w:color w:val="1A1A1A"/>
        </w:rPr>
        <w:t xml:space="preserve">2. Den ersten Befund über sich selbst laut annehmen.</w:t>
      </w:r>
      <w:r>
        <w:rPr>
          <w:color w:val="1A1A1A"/>
        </w:rPr>
        <w:t xml:space="preserve"> Ein Satz am Tisch genügt, vor den anderen: «Schreib es so hin.»</w:t>
      </w:r>
    </w:p>
    <w:p>
      <w:pPr>
        <w:spacing w:after="140" w:line="300" w:lineRule="auto"/>
        <w:jc w:val="both"/>
      </w:pPr>
      <w:r>
        <w:rPr>
          <w:b/>
          <w:bCs/>
          <w:color w:val="1A1A1A"/>
        </w:rPr>
        <w:t xml:space="preserve">3. Die Termine für zwei Jahre festlegen.</w:t>
      </w:r>
      <w:r>
        <w:rPr>
          <w:color w:val="1A1A1A"/>
        </w:rPr>
        <w:t xml:space="preserve"> Ein Audit je Haus und Jahr, eines davon im laufenden Betrieb, dazu Nachverfolgungen, wo eine Maßnahme erst später prüfbar ist. Das Terminblatt kommt in die Mappe.</w:t>
      </w:r>
    </w:p>
    <w:p>
      <w:pPr>
        <w:spacing w:after="140" w:line="300" w:lineRule="auto"/>
        <w:jc w:val="both"/>
      </w:pPr>
      <w:r>
        <w:rPr>
          <w:b/>
          <w:bCs/>
          <w:color w:val="1A1A1A"/>
        </w:rPr>
        <w:t xml:space="preserve">4. Die Vereinbarung jedes Jahr erneuern.</w:t>
      </w:r>
      <w:r>
        <w:rPr>
          <w:color w:val="1A1A1A"/>
        </w:rPr>
        <w:t xml:space="preserve"> Eine Seite: Umfang, was nicht eingesehen wird, Vertraulichkeit, Datenschutz, kein Abwerben, Wechsel der Rollen. Zehn Minuten nach dem letzten Audit des Jahres.</w:t>
      </w:r>
    </w:p>
    <w:p>
      <w:pPr>
        <w:spacing w:after="140" w:line="300" w:lineRule="auto"/>
        <w:jc w:val="both"/>
      </w:pPr>
      <w:r>
        <w:rPr>
          <w:b/>
          <w:bCs/>
          <w:color w:val="1A1A1A"/>
        </w:rPr>
        <w:t xml:space="preserve">5. Eine dritte Person im fremden Haus lernen lassen.</w:t>
      </w:r>
      <w:r>
        <w:rPr>
          <w:color w:val="1A1A1A"/>
        </w:rPr>
        <w:t xml:space="preserve"> Sohn, Tochter oder eine erfahrene Mitarbeiterin prüft mit, aber nie im eigenen Haus. Sie beginnt mit einer Nachverfolgung und einem halben Tag.</w:t>
      </w:r>
    </w:p>
    <w:p>
      <w:pPr>
        <w:spacing w:after="140" w:line="300" w:lineRule="auto"/>
        <w:jc w:val="both"/>
      </w:pPr>
      <w:r>
        <w:rPr>
          <w:b/>
          <w:bCs/>
          <w:color w:val="1A1A1A"/>
        </w:rPr>
        <w:t xml:space="preserve">6. Jeden Bericht mit dem Schluss und einer Stärke beginnen.</w:t>
      </w:r>
      <w:r>
        <w:rPr>
          <w:color w:val="1A1A1A"/>
        </w:rPr>
        <w:t xml:space="preserve"> Eine Seite, Stärken mit Kriterium und Nachweis, Befunde über Abläufe, nicht über Personen. Was nicht prüfbar war, steht als Grenze dabei.</w:t>
      </w:r>
    </w:p>
    <w:p>
      <w:pPr>
        <w:spacing w:after="140" w:line="300" w:lineRule="auto"/>
        <w:jc w:val="both"/>
      </w:pPr>
      <w:r>
        <w:rPr>
          <w:b/>
          <w:bCs/>
          <w:color w:val="1A1A1A"/>
        </w:rPr>
        <w:t xml:space="preserve">7. Die Ergebnisse auf das Blatt der Managementbewertung tragen.</w:t>
      </w:r>
      <w:r>
        <w:rPr>
          <w:color w:val="1A1A1A"/>
        </w:rPr>
        <w:t xml:space="preserve"> Die Zeile, die im ersten Jahr leer blieb, wird gefüllt. Beim nächsten Audit wird zuerst geprüft, ob die Maßnahmen des letzten gewirkt haben.</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Werden auch die Aufgaben der Inhaberin geprüft?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Gab es im letzten Jahr einen Befund über die Arbeit der Inhaberin, und steht er mit Termin auf dem Blatt?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Stehen die Audittermine für die nächsten zwei Jahre fest?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Findet mindestens ein Audit im laufenden Betrieb statt?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Nennt der Bericht Stärken mit Nachweis?</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Ist die Vereinbarung mit dem Nachbarhaus in diesem Jahr erneuert worden?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Sieht die Prüferin </w:t>
            </w:r>
            <w:r>
              <w:rPr>
                <w:color w:val="1A1A1A"/>
                <w:sz w:val="17"/>
                <w:szCs w:val="17"/>
              </w:rPr>
              <w:t xml:space="preserve">Gästedaten nur im erforderlichen Umfang und Gesundheitsangaben gar nicht?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Stehen die Auditergebnisse auf dem Blatt der Managementbewertung?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Die Inhaberin aus Respekt auslassen.</w:t>
      </w:r>
      <w:r>
        <w:rPr>
          <w:color w:val="1A1A1A"/>
        </w:rPr>
        <w:t xml:space="preserve"> Dann bleibt der Teil des Systems ungeprüft, der am meisten trägt.</w:t>
      </w:r>
    </w:p>
    <w:p>
      <w:pPr>
        <w:spacing w:after="140" w:line="300" w:lineRule="auto"/>
        <w:jc w:val="both"/>
      </w:pPr>
      <w:r>
        <w:rPr>
          <w:b/>
          <w:bCs/>
          <w:color w:val="1A1A1A"/>
        </w:rPr>
        <w:t xml:space="preserve">Einander schonen.</w:t>
      </w:r>
      <w:r>
        <w:rPr>
          <w:color w:val="1A1A1A"/>
        </w:rPr>
        <w:t xml:space="preserve"> Ein Gefälligkeitsaudit kostet zwei Tage im Jahr und zeigt nichts.</w:t>
      </w:r>
    </w:p>
    <w:p>
      <w:pPr>
        <w:spacing w:after="140" w:line="300" w:lineRule="auto"/>
        <w:jc w:val="both"/>
      </w:pPr>
      <w:r>
        <w:rPr>
          <w:b/>
          <w:bCs/>
          <w:color w:val="1A1A1A"/>
        </w:rPr>
        <w:t xml:space="preserve">Das Audit vom Kalender der Saison abhängig machen.</w:t>
      </w:r>
      <w:r>
        <w:rPr>
          <w:color w:val="1A1A1A"/>
        </w:rPr>
        <w:t xml:space="preserve"> Was keinen festen Termin hat, findet im dritten Jahr nicht mehr statt.</w:t>
      </w:r>
    </w:p>
    <w:p>
      <w:pPr>
        <w:spacing w:after="140" w:line="300" w:lineRule="auto"/>
        <w:jc w:val="both"/>
      </w:pPr>
      <w:r>
        <w:rPr>
          <w:b/>
          <w:bCs/>
          <w:color w:val="1A1A1A"/>
        </w:rPr>
        <w:t xml:space="preserve">Nur Mängel aufschreiben.</w:t>
      </w:r>
      <w:r>
        <w:rPr>
          <w:color w:val="1A1A1A"/>
        </w:rPr>
        <w:t xml:space="preserve"> Das Haus weiß nicht, was es bewahren soll, und liest den Bericht als Anklage.</w:t>
      </w:r>
    </w:p>
    <w:p>
      <w:pPr>
        <w:spacing w:after="140" w:line="300" w:lineRule="auto"/>
        <w:jc w:val="both"/>
      </w:pPr>
      <w:r>
        <w:rPr>
          <w:b/>
          <w:bCs/>
          <w:color w:val="1A1A1A"/>
        </w:rPr>
        <w:t xml:space="preserve">Was ein Mensch aus dem Kopf trägt, für einen Ablauf halten.</w:t>
      </w:r>
      <w:r>
        <w:rPr>
          <w:color w:val="1A1A1A"/>
        </w:rPr>
        <w:t xml:space="preserve"> Es funktioniert, bis dieser Mensch einmal nicht da ist.</w:t>
      </w:r>
    </w:p>
    <w:p>
      <w:pPr>
        <w:spacing w:after="140" w:line="300" w:lineRule="auto"/>
        <w:jc w:val="both"/>
      </w:pPr>
      <w:r>
        <w:rPr>
          <w:b/>
          <w:bCs/>
          <w:color w:val="1A1A1A"/>
        </w:rPr>
        <w:t xml:space="preserve">Jahrelang nur zu zweit prüfen.</w:t>
      </w:r>
      <w:r>
        <w:rPr>
          <w:color w:val="1A1A1A"/>
        </w:rPr>
        <w:t xml:space="preserve"> Zwei Häuser, die einander gut kennen, übersehen mit der Zeit dasselbe.</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Christine als Auditorin in der Wildschönau: 7 Std. × € 45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€ 315</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je Jahr; Stundenwert der Inhaberin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Vorbereitung und Gespräche beim Audit in Alpbach: 4 Std. × € 45 und 6 Std. Familie × € 35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€ 390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je Jahr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Nachverfolgung durch Elias und Christine: 4 Std. × € 35 und 4 Std. × € 45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€ 320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je Jahr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Fahrten: 4 × 70 km × € 0,50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€ 140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Modellsatz je Kilometer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Rosmaries Audittag in Alpbach</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Gegenleistung, keine Rechnung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Externe Auditorin für ein Audit zum Vergleich: 1 Tag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€ 1.200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Modellsatz wie in 3.1, zuzüglich Fahrt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Das </w:t>
      </w:r>
      <w:r>
        <w:rPr>
          <w:color w:val="1A1A1A"/>
        </w:rPr>
        <w:t xml:space="preserve">Kreuzaudit kostet das Haus im Jahr € 1.165, wenn man alle Stunden der Familie bewertet; bar bezahlt werden davon nur die € 140 für die Fahrten. Billiger an Stunden als eine Auditorin auf Zeit ist es nicht. Es bringt aber zwei Dinge, die sich nicht kaufen lassen: eine Prüferin, die ein Haus derselben Art führt, und ein Nachbarhaus, in dem die eigene Familie prüfen lernt.</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3"/>
        <w:gridCol w:w="3316"/>
        <w:gridCol w:w="3317"/>
      </w:tblGrid>
      <w:tr>
        <w:trPr>
          <w:tblHeader/>
        </w:trPr>
        <w:tc>
          <w:tcPr>
            <w:tcW w:w="300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31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31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0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Interne Audits in geplanten Abständen; Programm (9.2)</w:t>
            </w:r>
          </w:p>
        </w:tc>
        <w:tc>
          <w:tcPr>
            <w:tcW w:w="331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Terminblatt für zwei Jahre in der Mappe</w:t>
            </w:r>
          </w:p>
        </w:tc>
        <w:tc>
          <w:tcPr>
            <w:tcW w:w="331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ein Audit je Haus und Jahr, eines im laufenden Betrieb</w:t>
            </w:r>
          </w:p>
        </w:tc>
      </w:tr>
      <w:tr>
        <w:trPr>
          <w:cantSplit/>
        </w:trPr>
        <w:tc>
          <w:tcPr>
            <w:tcW w:w="30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Objektivität und Unparteilichkeit (9.2)</w:t>
            </w:r>
          </w:p>
        </w:tc>
        <w:tc>
          <w:tcPr>
            <w:tcW w:w="33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Kreuzaudit mit dem Nachbarhaus; Elias prüft nur dort</w:t>
            </w:r>
          </w:p>
        </w:tc>
        <w:tc>
          <w:tcPr>
            <w:tcW w:w="33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Handbuch: gegenseitige Audits kleiner Betriebe</w:t>
            </w:r>
          </w:p>
        </w:tc>
      </w:tr>
      <w:tr>
        <w:trPr>
          <w:cantSplit/>
        </w:trPr>
        <w:tc>
          <w:tcPr>
            <w:tcW w:w="30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Ergebnisse an die zuständige Leitung (9.2)</w:t>
            </w:r>
          </w:p>
        </w:tc>
        <w:tc>
          <w:tcPr>
            <w:tcW w:w="331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Bericht von einer Seite, unterschrieben</w:t>
            </w:r>
          </w:p>
        </w:tc>
        <w:tc>
          <w:tcPr>
            <w:tcW w:w="331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zuerst der Schluss, Stärken mit Nachweis</w:t>
            </w:r>
          </w:p>
        </w:tc>
      </w:tr>
      <w:tr>
        <w:trPr>
          <w:cantSplit/>
        </w:trPr>
        <w:tc>
          <w:tcPr>
            <w:tcW w:w="30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Führung, Verbesserung fördern (5.1)</w:t>
            </w:r>
          </w:p>
        </w:tc>
        <w:tc>
          <w:tcPr>
            <w:tcW w:w="33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Befund über die Inhaberin im Bericht, mit Termin auf dem Bewertungsblatt</w:t>
            </w:r>
          </w:p>
        </w:tc>
        <w:tc>
          <w:tcPr>
            <w:tcW w:w="33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den eigenen Bereich zuerst prüfen lassen</w:t>
            </w:r>
          </w:p>
        </w:tc>
      </w:tr>
      <w:tr>
        <w:trPr>
          <w:cantSplit/>
        </w:trPr>
        <w:tc>
          <w:tcPr>
            <w:tcW w:w="300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Bewusstsein (7.3)</w:t>
            </w:r>
          </w:p>
        </w:tc>
        <w:tc>
          <w:tcPr>
            <w:tcW w:w="331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Gespräche mit Servicekraft und Zimmerfrau bei der Arbeit</w:t>
            </w:r>
          </w:p>
        </w:tc>
        <w:tc>
          <w:tcPr>
            <w:tcW w:w="331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ISO 19011:2026: Grundsätze, sachliche Darstellung</w:t>
            </w:r>
          </w:p>
        </w:tc>
      </w:tr>
      <w:tr>
        <w:trPr>
          <w:cantSplit/>
        </w:trPr>
        <w:tc>
          <w:tcPr>
            <w:tcW w:w="300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Fortlaufende Verbesserung (10.1)</w:t>
            </w:r>
          </w:p>
        </w:tc>
        <w:tc>
          <w:tcPr>
            <w:tcW w:w="331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Auditergebnisse auf dem Blatt der Managementbewertung</w:t>
            </w:r>
          </w:p>
        </w:tc>
        <w:tc>
          <w:tcPr>
            <w:tcW w:w="331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Wirksamkeit beim nächsten Audit zuerst</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was die Prüferin sieht und wer sonst von außen schaut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45"/>
        <w:gridCol w:w="2652"/>
        <w:gridCol w:w="2652"/>
        <w:gridCol w:w="2187"/>
      </w:tblGrid>
      <w:tr>
        <w:trPr>
          <w:tblHeader/>
        </w:trPr>
        <w:tc>
          <w:tcPr>
            <w:tcW w:w="21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65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65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18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21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Einsicht in Gästedaten beim Audit</w:t>
            </w:r>
          </w:p>
        </w:tc>
        <w:tc>
          <w:tcPr>
            <w:tcW w:w="265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Rechtsgrundlage nach Art. 6 DSGVO; nur das Erforderliche</w:t>
            </w:r>
          </w:p>
        </w:tc>
        <w:tc>
          <w:tcPr>
            <w:tcW w:w="265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wie Deutschland; Gästeverzeichnis 7 Jahre aufbewahrt</w:t>
            </w:r>
          </w:p>
        </w:tc>
        <w:tc>
          <w:tcPr>
            <w:tcW w:w="21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Datenschutzgesetz</w:t>
            </w:r>
          </w:p>
        </w:tc>
      </w:tr>
      <w:tr>
        <w:trPr>
          <w:cantSplit/>
        </w:trPr>
        <w:tc>
          <w:tcPr>
            <w:tcW w:w="21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Gesundheitsangaben von Gästen</w:t>
            </w:r>
          </w:p>
        </w:tc>
        <w:tc>
          <w:tcPr>
            <w:tcW w:w="26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zusätzlich Voraussetzung nach Art. 9 DSGVO; getrennt führen</w:t>
            </w:r>
          </w:p>
        </w:tc>
        <w:tc>
          <w:tcPr>
            <w:tcW w:w="26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wie Deutschland</w:t>
            </w:r>
          </w:p>
        </w:tc>
        <w:tc>
          <w:tcPr>
            <w:tcW w:w="21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besonders schützenswerte Personendaten nach DSG</w:t>
            </w:r>
          </w:p>
        </w:tc>
      </w:tr>
      <w:tr>
        <w:trPr>
          <w:cantSplit/>
        </w:trPr>
        <w:tc>
          <w:tcPr>
            <w:tcW w:w="21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Vereinbarung zwischen den Häusern</w:t>
            </w:r>
          </w:p>
        </w:tc>
        <w:tc>
          <w:tcPr>
            <w:tcW w:w="265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ergänzt die Rechtsgrundlage, ersetzt sie nicht</w:t>
            </w:r>
          </w:p>
        </w:tc>
        <w:tc>
          <w:tcPr>
            <w:tcW w:w="265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c>
          <w:tcPr>
            <w:tcW w:w="21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r>
      <w:tr>
        <w:trPr>
          <w:cantSplit/>
        </w:trPr>
        <w:tc>
          <w:tcPr>
            <w:tcW w:w="21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Betreuung im Arbeitsschutz als Blick von außen</w:t>
            </w:r>
          </w:p>
        </w:tc>
        <w:tc>
          <w:tcPr>
            <w:tcW w:w="26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DGUV Vorschrift 2 der BGN: bis 20 Beschäftigte Anlage 1 oder Anlage 4</w:t>
            </w:r>
          </w:p>
        </w:tc>
        <w:tc>
          <w:tcPr>
            <w:tcW w:w="26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AUVAsicher: Begehung alle 2 Jahre bei 1 bis 10 Arbeitnehmern</w:t>
            </w:r>
          </w:p>
        </w:tc>
        <w:tc>
          <w:tcPr>
            <w:tcW w:w="21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EKAS 6508; Branchenlösung BL 44</w:t>
            </w:r>
          </w:p>
        </w:tc>
      </w:tr>
      <w:tr>
        <w:trPr>
          <w:cantSplit/>
        </w:trPr>
        <w:tc>
          <w:tcPr>
            <w:tcW w:w="21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Entscheidung über einen Rechtsverstoß</w:t>
            </w:r>
          </w:p>
        </w:tc>
        <w:tc>
          <w:tcPr>
            <w:tcW w:w="265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Behörde; das Audit bewertet Nachweise gegen Kriterien</w:t>
            </w:r>
          </w:p>
        </w:tc>
        <w:tc>
          <w:tcPr>
            <w:tcW w:w="265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c>
          <w:tcPr>
            <w:tcW w:w="21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3.15.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3.15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