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
        <w:rPr>
          <w:b/>
          <w:i w:val="0"/>
          <w:color w:val="8C5A2B"/>
          <w:sz w:val="18"/>
        </w:rPr>
        <w:t>Das Steuer und die Lupe · Band 9b · Kleine Betriebe — Prüfen, wo jeder alles macht</w:t>
      </w:r>
    </w:p>
    <w:p>
      <w:pPr>
        <w:pStyle w:val="Titolo2"/>
        <w:keepNext/>
        <w:keepLines/>
        <w:spacing w:after="200" w:line="340" w:lineRule="auto"/>
      </w:pPr>
      <w:r>
        <w:t xml:space="preserve">Arbeitsmaterial zu Abschnitt 3.2</w:t>
      </w:r>
    </w:p>
    <w:p>
      <w:r>
        <w:rPr>
          <w:b/>
          <w:i w:val="0"/>
          <w:sz w:val="24"/>
        </w:rPr>
        <w:t>Das Kreuzaudit zwischen zwei Häusern: Vereinbarung, Vertraulichkeit, Gegenseitigkeit</w:t>
      </w:r>
    </w:p>
    <w:p>
      <w:r>
        <w:rPr>
          <w:b w:val="0"/>
          <w:i/>
          <w:sz w:val="20"/>
        </w:rPr>
        <w:t>Die Vereinbarung für ein Kreuzaudit schreiben: Umfang, was nicht eingesehen wird, Vertraulichkeit, Datenschutz und Wechsel der Rollen.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tc>
          <w:tcPr>
            <w:tcW w:w="9638" w:type="dxa"/>
            <w:tcBorders>
              <w:top w:val="none" w:sz="0" w:space="0" w:color="FFFFFF"/>
              <w:left w:val="single" w:sz="24" w:space="0" w:color="8C5A2B"/>
              <w:bottom w:val="none" w:sz="0" w:space="0" w:color="FFFFFF"/>
              <w:right w:val="none" w:sz="0" w:space="0" w:color="FFFFFF"/>
            </w:tcBorders>
            <w:shd w:val="clear" w:color="auto" w:fill="EFE7DC"/>
            <w:tcMar>
              <w:top w:w="100" w:type="dxa"/>
              <w:left w:w="180" w:type="dxa"/>
              <w:bottom w:w="100" w:type="dxa"/>
              <w:right w:w="160" w:type="dxa"/>
            </w:tcMar>
          </w:tcPr>
          <w:p>
            <w:pPr>
              <w:spacing w:line="300" w:lineRule="auto"/>
            </w:pPr>
            <w:r>
              <w:rPr>
                <w:b/>
                <w:bCs/>
                <w:color w:val="8C5A2B"/>
                <w:sz w:val="18"/>
                <w:szCs w:val="18"/>
              </w:rPr>
              <w:t xml:space="preserve">Leitfrage </w:t>
            </w:r>
            <w:r>
              <w:rPr>
                <w:i/>
                <w:iCs/>
                <w:color w:val="1A1A1A"/>
              </w:rPr>
              <w:t>Wenn morgen die Inhaberin des Hauses gegenüber durch Ihre Ordner geht: Was soll sie sehen, und was nicht? Und was darf sie mit dem tun, was sie gesehen hat, wenn Sie beide im nächsten Jahr wieder um dieselben Gäste werben?</w:t>
            </w:r>
          </w:p>
        </w:tc>
      </w:tr>
    </w:tbl>
    <w:p>
      <w:r>
        <w:rPr>
          <w:b w:val="0"/>
          <w:i/>
          <w:sz w:val="19"/>
        </w:rPr>
        <w:t>Dieses Blatt gibt den Werkzeugteil des Abschnitts in bearbeitbarer Form wieder: die Fragen in ihrer Reihenfolge, den Hinweis, was verlangt ist, von wem es verlangt ist und was nur Anleitung oder Methode ist, und die Zahlen der Modellrechnung zum Ersetzen durch die eigenen. Die Begründung jedes Schritts steht im Buch. Das Blatt ersetzt weder die Norm noch eine Beratung im Einzelfall.</w:t>
      </w:r>
    </w:p>
    <w:p>
      <w:pPr>
        <w:keepNext/>
        <w:spacing w:before="260" w:after="120"/>
      </w:pPr>
      <w:r>
        <w:rPr>
          <w:b/>
          <w:bCs/>
          <w:color w:val="8C5A2B"/>
          <w:sz w:val="25"/>
          <w:szCs w:val="25"/>
        </w:rPr>
        <w:t xml:space="preserve">Das Werkzeug des Abschnitts</w:t>
      </w:r>
    </w:p>
    <w:p>
      <w:pPr>
        <w:keepNext/>
        <w:spacing w:before="160" w:after="90"/>
      </w:pPr>
      <w:r>
        <w:rPr>
          <w:b/>
          <w:bCs/>
          <w:color w:val="5A5A5A"/>
          <w:sz w:val="18"/>
          <w:szCs w:val="18"/>
        </w:rPr>
        <w:t xml:space="preserve">Tabelle 2 — Die acht Punkte der Vereinbarung in Wangen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958"/>
        <w:gridCol w:w="3786"/>
        <w:gridCol w:w="3892"/>
      </w:tblGrid>
      <w:tr>
        <w:trPr>
          <w:tblHeader/>
        </w:trPr>
        <w:tc>
          <w:tcPr>
            <w:tcW w:w="1958"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Punkt</w:t>
            </w:r>
          </w:p>
        </w:tc>
        <w:tc>
          <w:tcPr>
            <w:tcW w:w="3786"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Was er regelt</w:t>
            </w:r>
          </w:p>
        </w:tc>
        <w:tc>
          <w:tcPr>
            <w:tcW w:w="3892"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In Wangen</w:t>
            </w:r>
          </w:p>
        </w:tc>
      </w:tr>
      <w:tr>
        <w:trPr>
          <w:cantSplit/>
        </w:trPr>
        <w:tc>
          <w:tcPr>
            <w:tcW w:w="1958"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Zweck und Kriterien</w:t>
            </w:r>
          </w:p>
        </w:tc>
        <w:tc>
          <w:tcPr>
            <w:tcW w:w="3786"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wogegen geprüft wird</w:t>
            </w:r>
          </w:p>
        </w:tc>
        <w:tc>
          <w:tcPr>
            <w:tcW w:w="3892"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Gruppenregeln des Hauses, Frühstück, Meldescheine, Abschnitt 9.2</w:t>
            </w:r>
          </w:p>
        </w:tc>
      </w:tr>
      <w:tr>
        <w:trPr>
          <w:cantSplit/>
        </w:trPr>
        <w:tc>
          <w:tcPr>
            <w:tcW w:w="1958"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Umfang und Termin</w:t>
            </w:r>
          </w:p>
        </w:tc>
        <w:tc>
          <w:tcPr>
            <w:tcW w:w="3786"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Bereiche, Tag, Stunden</w:t>
            </w:r>
          </w:p>
        </w:tc>
        <w:tc>
          <w:tcPr>
            <w:tcW w:w="389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Donnerstag, 7 bis 13 Uhr, mit einer Gruppe im Haus</w:t>
            </w:r>
          </w:p>
        </w:tc>
      </w:tr>
      <w:tr>
        <w:trPr>
          <w:cantSplit/>
        </w:trPr>
        <w:tc>
          <w:tcPr>
            <w:tcW w:w="1958"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Was nicht eingesehen wird</w:t>
            </w:r>
          </w:p>
        </w:tc>
        <w:tc>
          <w:tcPr>
            <w:tcW w:w="3786"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Preise, Verträge, Kalkulation, Stammgästelisten</w:t>
            </w:r>
          </w:p>
        </w:tc>
        <w:tc>
          <w:tcPr>
            <w:tcW w:w="3892"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Vertrag mit dem Veranstalter bleibt in der Mappe</w:t>
            </w:r>
          </w:p>
        </w:tc>
      </w:tr>
      <w:tr>
        <w:trPr>
          <w:cantSplit/>
        </w:trPr>
        <w:tc>
          <w:tcPr>
            <w:tcW w:w="1958"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Gästedaten</w:t>
            </w:r>
          </w:p>
        </w:tc>
        <w:tc>
          <w:tcPr>
            <w:tcW w:w="3786"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nur Erforderliches, keine Kopien, keine Gesundheitsangaben</w:t>
            </w:r>
          </w:p>
        </w:tc>
        <w:tc>
          <w:tcPr>
            <w:tcW w:w="389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Namen abgedeckt; Stichprobe nach Datum und Zimmernummer</w:t>
            </w:r>
          </w:p>
        </w:tc>
      </w:tr>
      <w:tr>
        <w:trPr>
          <w:cantSplit/>
        </w:trPr>
        <w:tc>
          <w:tcPr>
            <w:tcW w:w="1958"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Vertraulichkeit</w:t>
            </w:r>
          </w:p>
        </w:tc>
        <w:tc>
          <w:tcPr>
            <w:tcW w:w="3786"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Gesehenes bleibt im Haus, auch nach dem Ende</w:t>
            </w:r>
          </w:p>
        </w:tc>
        <w:tc>
          <w:tcPr>
            <w:tcW w:w="3892"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gilt auch für den gelesenen Namen des Veranstalters</w:t>
            </w:r>
          </w:p>
        </w:tc>
      </w:tr>
      <w:tr>
        <w:trPr>
          <w:cantSplit/>
        </w:trPr>
        <w:tc>
          <w:tcPr>
            <w:tcW w:w="1958"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Kein Abwerben</w:t>
            </w:r>
          </w:p>
        </w:tc>
        <w:tc>
          <w:tcPr>
            <w:tcW w:w="3786"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Gäste, Veranstalter, Mitarbeitende</w:t>
            </w:r>
          </w:p>
        </w:tc>
        <w:tc>
          <w:tcPr>
            <w:tcW w:w="389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Anfrage von sich aus wird dem anderen Haus gesagt</w:t>
            </w:r>
          </w:p>
        </w:tc>
      </w:tr>
      <w:tr>
        <w:trPr>
          <w:cantSplit/>
        </w:trPr>
        <w:tc>
          <w:tcPr>
            <w:tcW w:w="1958"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Gegenseitigkeit</w:t>
            </w:r>
          </w:p>
        </w:tc>
        <w:tc>
          <w:tcPr>
            <w:tcW w:w="3786"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Wechsel der Rollen, gleiche Regeln</w:t>
            </w:r>
          </w:p>
        </w:tc>
        <w:tc>
          <w:tcPr>
            <w:tcW w:w="3892"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Bentele prüft im Herbst bei Fimpel</w:t>
            </w:r>
          </w:p>
        </w:tc>
      </w:tr>
      <w:tr>
        <w:trPr>
          <w:cantSplit/>
        </w:trPr>
        <w:tc>
          <w:tcPr>
            <w:tcW w:w="1958"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Bericht und Notizen</w:t>
            </w:r>
          </w:p>
        </w:tc>
        <w:tc>
          <w:tcPr>
            <w:tcW w:w="3786"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wer ihn bekommt, was mit Notizen geschieht</w:t>
            </w:r>
          </w:p>
        </w:tc>
        <w:tc>
          <w:tcPr>
            <w:tcW w:w="389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Bericht nur an Bentele; Notizen nach einer Woche vernichtet</w:t>
            </w:r>
          </w:p>
        </w:tc>
      </w:tr>
    </w:tbl>
    <w:p>
      <w:pPr>
        <w:keepNext/>
        <w:spacing w:before="260" w:after="120"/>
      </w:pPr>
      <w:r>
        <w:rPr>
          <w:b/>
          <w:bCs/>
          <w:color w:val="8C5A2B"/>
          <w:sz w:val="25"/>
          <w:szCs w:val="25"/>
        </w:rPr>
        <w:t xml:space="preserve">Praktische Anwendung: die Vereinbarung für ein Kreuzaudit in sieben Schritten schreiben</w:t>
      </w:r>
    </w:p>
    <w:p>
      <w:pPr>
        <w:spacing w:after="140" w:line="300" w:lineRule="auto"/>
        <w:jc w:val="both"/>
      </w:pPr>
      <w:r>
        <w:rPr>
          <w:b/>
          <w:bCs/>
          <w:color w:val="1A1A1A"/>
        </w:rPr>
        <w:t xml:space="preserve">1. Zweck und Kriterien in zwei Sätzen festhalten.</w:t>
      </w:r>
      <w:r>
        <w:rPr>
          <w:color w:val="1A1A1A"/>
        </w:rPr>
        <w:t xml:space="preserve"> Was soll das Audit zeigen, und wogegen wird geprüft: eigene Regeln des Hauses und die Abschnitte der Norm. Eine Stunde am Telefon genügt, wenn danach etwas auf dem Blatt steht.</w:t>
      </w:r>
    </w:p>
    <w:p>
      <w:pPr>
        <w:spacing w:after="140" w:line="300" w:lineRule="auto"/>
        <w:jc w:val="both"/>
      </w:pPr>
      <w:r>
        <w:rPr>
          <w:b/>
          <w:bCs/>
          <w:color w:val="1A1A1A"/>
        </w:rPr>
        <w:t xml:space="preserve">2. Den Umfang mit Ort und Zeit bestimmen.</w:t>
      </w:r>
      <w:r>
        <w:rPr>
          <w:color w:val="1A1A1A"/>
        </w:rPr>
        <w:t xml:space="preserve"> Bereiche, Tag, Stunden. Legen Sie den Termin in den Betrieb, mit Frühstück oder Anreise, sonst sieht die Prüferin nur Papier.</w:t>
      </w:r>
    </w:p>
    <w:p>
      <w:pPr>
        <w:spacing w:after="140" w:line="300" w:lineRule="auto"/>
        <w:jc w:val="both"/>
      </w:pPr>
      <w:r>
        <w:rPr>
          <w:b/>
          <w:bCs/>
          <w:color w:val="1A1A1A"/>
        </w:rPr>
        <w:t xml:space="preserve">3. Die Liste dessen schreiben, was zu bleibt.</w:t>
      </w:r>
      <w:r>
        <w:rPr>
          <w:color w:val="1A1A1A"/>
        </w:rPr>
        <w:t xml:space="preserve"> Preise, Konditionen, Verträge, Kalkulation, Lohnunterlagen, Stammgästelisten. Ordnen Sie die Ablage vorher so, dass niemand an diesen Unterlagen vorbei muss.</w:t>
      </w:r>
    </w:p>
    <w:p>
      <w:pPr>
        <w:spacing w:after="140" w:line="300" w:lineRule="auto"/>
        <w:jc w:val="both"/>
      </w:pPr>
      <w:r>
        <w:rPr>
          <w:b/>
          <w:bCs/>
          <w:color w:val="1A1A1A"/>
        </w:rPr>
        <w:t xml:space="preserve">4. Die Gästedaten regeln.</w:t>
      </w:r>
      <w:r>
        <w:rPr>
          <w:color w:val="1A1A1A"/>
        </w:rPr>
        <w:t xml:space="preserve"> Nur Erforderliches, Namen abgedeckt, keine Kopien und keine Fotos von Dokumenten mit Namen, keine Gesundheitsangaben. Klären Sie vorher, auf welcher Rechtsgrundlage Sie überhaupt etwas zeigen.</w:t>
      </w:r>
    </w:p>
    <w:p>
      <w:pPr>
        <w:spacing w:after="140" w:line="300" w:lineRule="auto"/>
        <w:jc w:val="both"/>
      </w:pPr>
      <w:r>
        <w:rPr>
          <w:b/>
          <w:bCs/>
          <w:color w:val="1A1A1A"/>
        </w:rPr>
        <w:t xml:space="preserve">5. Vertraulichkeit und Abwerben in einen Satz fassen.</w:t>
      </w:r>
      <w:r>
        <w:rPr>
          <w:color w:val="1A1A1A"/>
        </w:rPr>
        <w:t xml:space="preserve"> Was gesehen wird, bleibt im Haus, auch nach dem Ende. Keine wirbt ab; Anfragen, die von selbst kommen, werden dem anderen Haus gesagt.</w:t>
      </w:r>
    </w:p>
    <w:p>
      <w:pPr>
        <w:spacing w:after="140" w:line="300" w:lineRule="auto"/>
        <w:jc w:val="both"/>
      </w:pPr>
      <w:r>
        <w:rPr>
          <w:b/>
          <w:bCs/>
          <w:color w:val="1A1A1A"/>
        </w:rPr>
        <w:t xml:space="preserve">6. Die Gegenseitigkeit festlegen.</w:t>
      </w:r>
      <w:r>
        <w:rPr>
          <w:color w:val="1A1A1A"/>
        </w:rPr>
        <w:t xml:space="preserve"> Wer wann wen prüft, mit gleichem Umfang und gleicher Form des Berichts. Feststellungen nur mit Kriterium und Nachweis, in beide Richtungen.</w:t>
      </w:r>
    </w:p>
    <w:p>
      <w:pPr>
        <w:spacing w:after="140" w:line="300" w:lineRule="auto"/>
        <w:jc w:val="both"/>
      </w:pPr>
      <w:r>
        <w:rPr>
          <w:b/>
          <w:bCs/>
          <w:color w:val="1A1A1A"/>
        </w:rPr>
        <w:t xml:space="preserve">7. Das Danach regeln und vor dem Termin unterschreiben.</w:t>
      </w:r>
      <w:r>
        <w:rPr>
          <w:color w:val="1A1A1A"/>
        </w:rPr>
        <w:t xml:space="preserve"> Bericht nur an die geprüfte Leitung, Notizen nach dem Bericht vernichtet oder übergeben, Ende der Vereinbarung jederzeit möglich. Die Seite kommt in beide Mappen.</w:t>
      </w:r>
    </w:p>
    <w:p>
      <w:pPr>
        <w:keepNext/>
        <w:spacing w:before="260" w:after="120"/>
      </w:pPr>
      <w:r>
        <w:rPr>
          <w:b/>
          <w:bCs/>
          <w:color w:val="8C5A2B"/>
          <w:sz w:val="25"/>
          <w:szCs w:val="25"/>
        </w:rPr>
        <w:t xml:space="preserve">Prüf-Checkliste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397"/>
        <w:gridCol w:w="674"/>
        <w:gridCol w:w="674"/>
        <w:gridCol w:w="2891"/>
      </w:tblGrid>
      <w:tr>
        <w:trPr>
          <w:tblHeader/>
        </w:trPr>
        <w:tc>
          <w:tcPr>
            <w:tcW w:w="539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Frage</w:t>
            </w:r>
          </w:p>
        </w:tc>
        <w:tc>
          <w:tcPr>
            <w:tcW w:w="67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Ja</w:t>
            </w:r>
          </w:p>
        </w:tc>
        <w:tc>
          <w:tcPr>
            <w:tcW w:w="67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Nein</w:t>
            </w:r>
          </w:p>
        </w:tc>
        <w:tc>
          <w:tcPr>
            <w:tcW w:w="2891"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Nachweis / Bemerkung</w:t>
            </w:r>
          </w:p>
        </w:tc>
      </w:tr>
      <w:tr>
        <w:trPr>
          <w:cantSplit/>
        </w:trPr>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Haben wir die Vereinbarung unterschrieben, bevor der erste Ordner offen war?</w:t>
            </w: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r>
      <w:tr>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Steht darin, welche Bereiche und Kriterien geprüft werden?</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r>
      <w:tr>
        <w:trPr>
          <w:cantSplit/>
        </w:trPr>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Steht darin, welche Unterlagen nicht eingesehen werden?</w:t>
            </w: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r>
      <w:tr>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Ist unsere Ablage so geordnet, dass niemand an Preisen und Verträgen vorbei muss?</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r>
      <w:tr>
        <w:trPr>
          <w:cantSplit/>
        </w:trPr>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Ist geklärt, welche Gästedaten die Prüferin sieht und auf welcher Grundlage?</w:t>
            </w: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r>
      <w:tr>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Liegen Gesundheitsangaben von Gästen getrennt und außerhalb der Stichprobe?</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r>
      <w:tr>
        <w:trPr>
          <w:cantSplit/>
        </w:trPr>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Gelten für beide Richtungen dieselben Regeln?</w:t>
            </w: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r>
      <w:tr>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Ist festgelegt, was mit Notizen und Bericht nach dem Audit geschieht?</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r>
    </w:tbl>
    <w:p>
      <w:pPr>
        <w:spacing w:after="140"/>
      </w:pPr>
    </w:p>
    <w:p>
      <w:pPr>
        <w:keepNext/>
        <w:spacing w:before="260" w:after="120"/>
      </w:pPr>
      <w:r>
        <w:rPr>
          <w:b/>
          <w:bCs/>
          <w:color w:val="8C5A2B"/>
          <w:sz w:val="25"/>
          <w:szCs w:val="25"/>
        </w:rPr>
        <w:t xml:space="preserve">Häufige Fehler</w:t>
      </w:r>
    </w:p>
    <w:p>
      <w:pPr>
        <w:spacing w:after="140" w:line="300" w:lineRule="auto"/>
        <w:jc w:val="both"/>
      </w:pPr>
      <w:r>
        <w:rPr>
          <w:b/>
          <w:bCs/>
          <w:color w:val="1A1A1A"/>
        </w:rPr>
        <w:t xml:space="preserve">Auf den Handschlag vertrauen.</w:t>
      </w:r>
      <w:r>
        <w:rPr>
          <w:color w:val="1A1A1A"/>
        </w:rPr>
        <w:t xml:space="preserve"> Was vorher nicht besprochen ist, entscheidet am Schreibtisch die Hand, die die Mappe zurückzieht.</w:t>
      </w:r>
    </w:p>
    <w:p>
      <w:pPr>
        <w:spacing w:after="140" w:line="300" w:lineRule="auto"/>
        <w:jc w:val="both"/>
      </w:pPr>
      <w:r>
        <w:rPr>
          <w:b/>
          <w:bCs/>
          <w:color w:val="1A1A1A"/>
        </w:rPr>
        <w:t xml:space="preserve">Nur sagen, was geprüft wird.</w:t>
      </w:r>
      <w:r>
        <w:rPr>
          <w:color w:val="1A1A1A"/>
        </w:rPr>
        <w:t xml:space="preserve"> Ohne die Liste dessen, was zu bleibt, nimmt jede Seite etwas anderes an.</w:t>
      </w:r>
    </w:p>
    <w:p>
      <w:pPr>
        <w:spacing w:after="140" w:line="300" w:lineRule="auto"/>
        <w:jc w:val="both"/>
      </w:pPr>
      <w:r>
        <w:rPr>
          <w:b/>
          <w:bCs/>
          <w:color w:val="1A1A1A"/>
        </w:rPr>
        <w:t xml:space="preserve">Verschwiegenheit für eine Rechtsgrundlage halten.</w:t>
      </w:r>
      <w:r>
        <w:rPr>
          <w:color w:val="1A1A1A"/>
        </w:rPr>
        <w:t xml:space="preserve"> Die Prüferin schweigt dann zwar, hat aber mehr gesehen, als sie durfte.</w:t>
      </w:r>
    </w:p>
    <w:p>
      <w:pPr>
        <w:spacing w:after="140" w:line="300" w:lineRule="auto"/>
        <w:jc w:val="both"/>
      </w:pPr>
      <w:r>
        <w:rPr>
          <w:b/>
          <w:bCs/>
          <w:color w:val="1A1A1A"/>
        </w:rPr>
        <w:t xml:space="preserve">Preise und Gästedaten in derselben Mappe ablegen.</w:t>
      </w:r>
      <w:r>
        <w:rPr>
          <w:color w:val="1A1A1A"/>
        </w:rPr>
        <w:t xml:space="preserve"> Das Audit zeigt es in der ersten Minute, ein Gast vielleicht später.</w:t>
      </w:r>
    </w:p>
    <w:p>
      <w:pPr>
        <w:spacing w:after="140" w:line="300" w:lineRule="auto"/>
        <w:jc w:val="both"/>
      </w:pPr>
      <w:r>
        <w:rPr>
          <w:b/>
          <w:bCs/>
          <w:color w:val="1A1A1A"/>
        </w:rPr>
        <w:t xml:space="preserve">Ohne gleiche Regeln die Rollen tauschen.</w:t>
      </w:r>
      <w:r>
        <w:rPr>
          <w:color w:val="1A1A1A"/>
        </w:rPr>
        <w:t xml:space="preserve"> Das zweite Audit wird zur Antwort auf das erste.</w:t>
      </w:r>
    </w:p>
    <w:p>
      <w:pPr>
        <w:spacing w:after="140" w:line="300" w:lineRule="auto"/>
        <w:jc w:val="both"/>
      </w:pPr>
      <w:r>
        <w:rPr>
          <w:b/>
          <w:bCs/>
          <w:color w:val="1A1A1A"/>
        </w:rPr>
        <w:t xml:space="preserve">Das Danach offenlassen.</w:t>
      </w:r>
      <w:r>
        <w:rPr>
          <w:color w:val="1A1A1A"/>
        </w:rPr>
        <w:t xml:space="preserve"> Notizen, Anfragen und Fragen Dritter sind die Stellen, an denen Vertrauen zerbricht.</w:t>
      </w:r>
    </w:p>
    <w:p>
      <w:pPr>
        <w:keepNext/>
        <w:spacing w:before="260" w:after="120"/>
      </w:pPr>
      <w:r>
        <w:rPr>
          <w:b/>
          <w:bCs/>
          <w:color w:val="8C5A2B"/>
          <w:sz w:val="25"/>
          <w:szCs w:val="25"/>
        </w:rPr>
        <w:t xml:space="preserve">Modellrechnung</w:t>
      </w:r>
    </w:p>
    <w:p>
      <w:pPr>
        <w:keepNext/>
        <w:spacing w:before="160" w:after="90"/>
      </w:pPr>
      <w:r>
        <w:rPr>
          <w:b/>
          <w:bCs/>
          <w:color w:val="5A5A5A"/>
          <w:sz w:val="18"/>
          <w:szCs w:val="18"/>
        </w:rPr>
        <w:t xml:space="preserve">Modellannahme, kein belegter Branchenwert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855"/>
        <w:gridCol w:w="1445"/>
        <w:gridCol w:w="2409"/>
        <w:gridCol w:w="1927"/>
      </w:tblGrid>
      <w:tr>
        <w:trPr>
          <w:tblHeader/>
        </w:trPr>
        <w:tc>
          <w:tcPr>
            <w:tcW w:w="385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Posten</w:t>
            </w:r>
          </w:p>
        </w:tc>
        <w:tc>
          <w:tcPr>
            <w:tcW w:w="144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Betrag</w:t>
            </w:r>
          </w:p>
        </w:tc>
        <w:tc>
          <w:tcPr>
            <w:tcW w:w="2409"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Anmerkung</w:t>
            </w:r>
          </w:p>
        </w:tc>
        <w:tc>
          <w:tcPr>
            <w:tcW w:w="192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Eigener Wert</w:t>
            </w:r>
          </w:p>
        </w:tc>
      </w:tr>
      <w:tr>
        <w:trPr>
          <w:cantSplit/>
        </w:trPr>
        <w:tc>
          <w:tcPr>
            <w:tcW w:w="385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Vereinbarung schreiben und abstimmen: 2 Personen × 2 Std. × € 40</w:t>
            </w:r>
          </w:p>
        </w:tc>
        <w:tc>
          <w:tcPr>
            <w:tcW w:w="144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€ 160</w:t>
            </w:r>
          </w:p>
        </w:tc>
        <w:tc>
          <w:tcPr>
            <w:tcW w:w="240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einmalig, beide Häuser</w:t>
            </w:r>
          </w:p>
        </w:tc>
        <w:tc>
          <w:tcPr>
            <w:tcW w:w="192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
            </w:r>
          </w:p>
        </w:tc>
      </w:tr>
      <w:tr>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Audit bei Bentele: 6 Std. × € 40</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€ 240</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Fimpel als Prüferin</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
            </w:r>
          </w:p>
        </w:tc>
      </w:tr>
      <w:tr>
        <w:trPr>
          <w:cantSplit/>
        </w:trPr>
        <w:tc>
          <w:tcPr>
            <w:tcW w:w="385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Stichprobe ohne Namen vorbereiten: 1,5 Std. × € 40</w:t>
            </w:r>
          </w:p>
        </w:tc>
        <w:tc>
          <w:tcPr>
            <w:tcW w:w="144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€ 60</w:t>
            </w:r>
          </w:p>
        </w:tc>
        <w:tc>
          <w:tcPr>
            <w:tcW w:w="240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Bentele, vor dem Termin</w:t>
            </w:r>
          </w:p>
        </w:tc>
        <w:tc>
          <w:tcPr>
            <w:tcW w:w="192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
            </w:r>
          </w:p>
        </w:tc>
      </w:tr>
      <w:tr>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Bericht von einer Seite: 2 Std. × € 40</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€ 80</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Fimpel</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
            </w:r>
          </w:p>
        </w:tc>
      </w:tr>
      <w:tr>
        <w:trPr>
          <w:cantSplit/>
        </w:trPr>
        <w:tc>
          <w:tcPr>
            <w:tcW w:w="385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Gegenaudit im Herbst, gleicher Umfang: 9,5 Std. × € 40</w:t>
            </w:r>
          </w:p>
        </w:tc>
        <w:tc>
          <w:tcPr>
            <w:tcW w:w="144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€ 380</w:t>
            </w:r>
          </w:p>
        </w:tc>
        <w:tc>
          <w:tcPr>
            <w:tcW w:w="240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Bentele prüft, Fimpel bereitet vor</w:t>
            </w:r>
          </w:p>
        </w:tc>
        <w:tc>
          <w:tcPr>
            <w:tcW w:w="192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
            </w:r>
          </w:p>
        </w:tc>
      </w:tr>
      <w:tr>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Zweite abschließbare Mappe für Gesundheitsangaben</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€ 120</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einmalig, Bentele</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
            </w:r>
          </w:p>
        </w:tc>
      </w:tr>
    </w:tbl>
    <w:p>
      <w:pPr>
        <w:spacing w:after="140"/>
      </w:pPr>
    </w:p>
    <w:p>
      <w:pPr>
        <w:spacing w:after="140" w:line="300" w:lineRule="auto"/>
        <w:jc w:val="both"/>
      </w:pPr>
      <w:r>
        <w:rPr>
          <w:color w:val="1A1A1A"/>
        </w:rPr>
        <w:t xml:space="preserve">Beide Kreuzaudits kosten die zwei Häuser zusammen im ersten Jahr € 1.040, rund € 520 je Haus und fast alles in Stunden, in den Folgejahren € 760. Die vierzig Minuten am Frühstückstisch stecken in der ersten Zeile. Die Rechnung hat keine Zeile für das, was ohne die Seite auf dem Spiel stand: zwei Häuser, die einander noch lange in derselben Gasse begegnen.</w:t>
      </w:r>
    </w:p>
    <w:p>
      <w:pPr>
        <w:keepNext/>
        <w:spacing w:before="260" w:after="120"/>
      </w:pPr>
      <w:r>
        <w:rPr>
          <w:b/>
          <w:bCs/>
          <w:color w:val="8C5A2B"/>
          <w:sz w:val="25"/>
          <w:szCs w:val="25"/>
        </w:rPr>
        <w:t xml:space="preserve">Was verlangt ist und was nur Anleitung ist</w:t>
      </w:r>
    </w:p>
    <w:p>
      <w:pPr>
        <w:keepNext/>
        <w:spacing w:before="160" w:after="90"/>
      </w:pPr>
      <w:r>
        <w:rPr>
          <w:b/>
          <w:bCs/>
          <w:color w:val="5A5A5A"/>
          <w:sz w:val="18"/>
          <w:szCs w:val="18"/>
        </w:rPr>
        <w:t xml:space="preserve">Tabelle 4 — Was verlangt ist, und was nur Anleitung ist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380"/>
        <w:gridCol w:w="3335"/>
        <w:gridCol w:w="2922"/>
      </w:tblGrid>
      <w:tr>
        <w:trPr>
          <w:tblHeader/>
        </w:trPr>
        <w:tc>
          <w:tcPr>
            <w:tcW w:w="3380"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Verlangt</w:t>
            </w:r>
          </w:p>
        </w:tc>
        <w:tc>
          <w:tcPr>
            <w:tcW w:w="333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Was es im kleinen Haus belegt</w:t>
            </w:r>
          </w:p>
        </w:tc>
        <w:tc>
          <w:tcPr>
            <w:tcW w:w="2922"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Nur Leitfaden oder Methode</w:t>
            </w:r>
          </w:p>
        </w:tc>
      </w:tr>
      <w:tr>
        <w:trPr>
          <w:cantSplit/>
        </w:trPr>
        <w:tc>
          <w:tcPr>
            <w:tcW w:w="3380"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Ziele, Kriterien und Umfang je Audit (9.2.2)</w:t>
            </w:r>
          </w:p>
        </w:tc>
        <w:tc>
          <w:tcPr>
            <w:tcW w:w="333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Seite mit Bereichen, Kriterien und Ausschlüssen</w:t>
            </w:r>
          </w:p>
        </w:tc>
        <w:tc>
          <w:tcPr>
            <w:tcW w:w="2922"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Methode: Kreuzaudit mit schriftlicher Vereinbarung</w:t>
            </w:r>
          </w:p>
        </w:tc>
      </w:tr>
      <w:tr>
        <w:trPr>
          <w:cantSplit/>
        </w:trPr>
        <w:tc>
          <w:tcPr>
            <w:tcW w:w="3380"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Auswahl für Objektivität und Unparteilichkeit (9.2.2)</w:t>
            </w:r>
          </w:p>
        </w:tc>
        <w:tc>
          <w:tcPr>
            <w:tcW w:w="333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Prüferin aus einem anderen Haus; Regeln vor dem Termin</w:t>
            </w:r>
          </w:p>
        </w:tc>
        <w:tc>
          <w:tcPr>
            <w:tcW w:w="292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Handbuch der ISO: Prüfer aus anderer Organisation</w:t>
            </w:r>
          </w:p>
        </w:tc>
      </w:tr>
      <w:tr>
        <w:trPr>
          <w:cantSplit/>
        </w:trPr>
        <w:tc>
          <w:tcPr>
            <w:tcW w:w="3380"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Ergebnisse an die zuständige Leitung (9.2.2)</w:t>
            </w:r>
          </w:p>
        </w:tc>
        <w:tc>
          <w:tcPr>
            <w:tcW w:w="333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Bericht nur an den geprüften Inhaber</w:t>
            </w:r>
          </w:p>
        </w:tc>
        <w:tc>
          <w:tcPr>
            <w:tcW w:w="2922"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Methode: Bericht von einer Seite</w:t>
            </w:r>
          </w:p>
        </w:tc>
      </w:tr>
      <w:tr>
        <w:trPr>
          <w:cantSplit/>
        </w:trPr>
        <w:tc>
          <w:tcPr>
            <w:tcW w:w="3380"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Dokumentierte Information (9.2.2)</w:t>
            </w:r>
          </w:p>
        </w:tc>
        <w:tc>
          <w:tcPr>
            <w:tcW w:w="333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unterschriebene Vereinbarung, Plan und Bericht in der Mappe</w:t>
            </w:r>
          </w:p>
        </w:tc>
        <w:tc>
          <w:tcPr>
            <w:tcW w:w="292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keine</w:t>
            </w:r>
          </w:p>
        </w:tc>
      </w:tr>
      <w:tr>
        <w:trPr>
          <w:cantSplit/>
        </w:trPr>
        <w:tc>
          <w:tcPr>
            <w:tcW w:w="3380"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Rechtsgrundlage für die Einsicht in Gästedaten (Art. 6 DSGVO)</w:t>
            </w:r>
          </w:p>
        </w:tc>
        <w:tc>
          <w:tcPr>
            <w:tcW w:w="333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Stichprobe mit abgedeckten Namen; keine Kopien</w:t>
            </w:r>
          </w:p>
        </w:tc>
        <w:tc>
          <w:tcPr>
            <w:tcW w:w="2922"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ISO 19011:2026: Grundsatz der Vertraulichkeit</w:t>
            </w:r>
          </w:p>
        </w:tc>
      </w:tr>
    </w:tbl>
    <w:p>
      <w:pPr>
        <w:keepNext/>
        <w:spacing w:before="260" w:after="120"/>
      </w:pPr>
      <w:r>
        <w:rPr>
          <w:b/>
          <w:bCs/>
          <w:color w:val="8C5A2B"/>
          <w:sz w:val="25"/>
          <w:szCs w:val="25"/>
        </w:rPr>
        <w:t xml:space="preserve">Der Rahmen in Deutschland, Österreich und der Schweiz</w:t>
      </w:r>
    </w:p>
    <w:p>
      <w:pPr>
        <w:keepNext/>
        <w:spacing w:before="160" w:after="90"/>
      </w:pPr>
      <w:r>
        <w:rPr>
          <w:b/>
          <w:bCs/>
          <w:color w:val="5A5A5A"/>
          <w:sz w:val="18"/>
          <w:szCs w:val="18"/>
        </w:rPr>
        <w:t xml:space="preserve">Tabelle 5 — DACH-Anker: was die Prüferin aus dem anderen Haus sehen darf</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890"/>
        <w:gridCol w:w="2652"/>
        <w:gridCol w:w="2438"/>
        <w:gridCol w:w="2655"/>
      </w:tblGrid>
      <w:tr>
        <w:trPr>
          <w:tblHeader/>
        </w:trPr>
        <w:tc>
          <w:tcPr>
            <w:tcW w:w="1890"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Ebene</w:t>
            </w:r>
          </w:p>
        </w:tc>
        <w:tc>
          <w:tcPr>
            <w:tcW w:w="2652"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Deutschland</w:t>
            </w:r>
          </w:p>
        </w:tc>
        <w:tc>
          <w:tcPr>
            <w:tcW w:w="2438"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Österreich</w:t>
            </w:r>
          </w:p>
        </w:tc>
        <w:tc>
          <w:tcPr>
            <w:tcW w:w="265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Schweiz</w:t>
            </w:r>
          </w:p>
        </w:tc>
      </w:tr>
      <w:tr>
        <w:trPr>
          <w:cantSplit/>
        </w:trPr>
        <w:tc>
          <w:tcPr>
            <w:tcW w:w="1890"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Grundlage der Einsicht</w:t>
            </w:r>
          </w:p>
        </w:tc>
        <w:tc>
          <w:tcPr>
            <w:tcW w:w="2652"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Rechtsgrundlage nach Art. 6 DSGVO; nur Erforderliches</w:t>
            </w:r>
          </w:p>
        </w:tc>
        <w:tc>
          <w:tcPr>
            <w:tcW w:w="2438"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wie Deutschland</w:t>
            </w:r>
          </w:p>
        </w:tc>
        <w:tc>
          <w:tcPr>
            <w:tcW w:w="265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DSG</w:t>
            </w:r>
          </w:p>
        </w:tc>
      </w:tr>
      <w:tr>
        <w:trPr>
          <w:cantSplit/>
        </w:trPr>
        <w:tc>
          <w:tcPr>
            <w:tcW w:w="1890"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Gesundheitsangaben der Gäste</w:t>
            </w:r>
          </w:p>
        </w:tc>
        <w:tc>
          <w:tcPr>
            <w:tcW w:w="265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Art. 9 DSGVO; getrennt geführt</w:t>
            </w:r>
          </w:p>
        </w:tc>
        <w:tc>
          <w:tcPr>
            <w:tcW w:w="2438"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wie Deutschland</w:t>
            </w:r>
          </w:p>
        </w:tc>
        <w:tc>
          <w:tcPr>
            <w:tcW w:w="26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besonders schützenswerte Personendaten (DSG)</w:t>
            </w:r>
          </w:p>
        </w:tc>
      </w:tr>
      <w:tr>
        <w:trPr>
          <w:cantSplit/>
        </w:trPr>
        <w:tc>
          <w:tcPr>
            <w:tcW w:w="1890"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Meldedaten in der Stichprobe</w:t>
            </w:r>
          </w:p>
        </w:tc>
        <w:tc>
          <w:tcPr>
            <w:tcW w:w="2652"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ausländische Gäste; Reisegesellschaft über 10 Personen: Reiseleitung unterschreibt; 1 Jahr (§§ 29, 30 BMG)</w:t>
            </w:r>
          </w:p>
        </w:tc>
        <w:tc>
          <w:tcPr>
            <w:tcW w:w="2438"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alle Gäste; Reisegruppen ab 8 per Sammelliste; 7 Jahre</w:t>
            </w:r>
          </w:p>
        </w:tc>
        <w:tc>
          <w:tcPr>
            <w:tcW w:w="265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Meldung ausländischer Gäste (Art. 16 AIG); Einzelheiten kantonal</w:t>
            </w:r>
          </w:p>
        </w:tc>
      </w:tr>
      <w:tr>
        <w:trPr>
          <w:cantSplit/>
        </w:trPr>
        <w:tc>
          <w:tcPr>
            <w:tcW w:w="1890"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Verzeichnis der Verarbeitungen</w:t>
            </w:r>
          </w:p>
        </w:tc>
        <w:tc>
          <w:tcPr>
            <w:tcW w:w="265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praktisch immer nötig (</w:t>
            </w:r>
            <w:r>
              <w:rPr>
                <w:color w:val="1A1A1A"/>
                <w:sz w:val="17"/>
                <w:szCs w:val="17"/>
              </w:rPr>
              <w:t xml:space="preserve">Art. 30 DSGVO, Auslegung der DSK)</w:t>
            </w:r>
          </w:p>
        </w:tc>
        <w:tc>
          <w:tcPr>
            <w:tcW w:w="2438"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Art. 30 DSGVO</w:t>
            </w:r>
          </w:p>
        </w:tc>
        <w:tc>
          <w:tcPr>
            <w:tcW w:w="26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Ausnahme unter 250 Mitarbeitenden möglich (Art. 24 DSV)</w:t>
            </w:r>
          </w:p>
        </w:tc>
      </w:tr>
      <w:tr>
        <w:trPr>
          <w:cantSplit/>
        </w:trPr>
        <w:tc>
          <w:tcPr>
            <w:tcW w:w="1890"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Vertraulichkeitsvereinbarung</w:t>
            </w:r>
          </w:p>
        </w:tc>
        <w:tc>
          <w:tcPr>
            <w:tcW w:w="2652"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Vertrag zwischen den Häusern; ergänzt die Rechtsgrundlage, ersetzt sie nicht</w:t>
            </w:r>
          </w:p>
        </w:tc>
        <w:tc>
          <w:tcPr>
            <w:tcW w:w="2438"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ebenso</w:t>
            </w:r>
          </w:p>
        </w:tc>
        <w:tc>
          <w:tcPr>
            <w:tcW w:w="265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ebenso</w:t>
            </w:r>
          </w:p>
        </w:tc>
      </w:tr>
    </w:tbl>
    <w:p>
      <w:r>
        <w:rPr>
          <w:b w:val="0"/>
          <w:i/>
          <w:sz w:val="18"/>
        </w:rPr>
        <w:t>Stand der Tabelle: 24. Oktober 2026. Die laufende Fassung aller DACH-Anker des Bandes, mit der geltenden Angabe und der Quelle jeder Änderung, führt die Plattform in der Datei «Band9b_Rechtsanker_DACH_laufend».</w:t>
      </w:r>
    </w:p>
    <w:p>
      <w:r>
        <w:rPr>
          <w:b w:val="0"/>
          <w:i w:val="0"/>
          <w:color w:val="8C5A2B"/>
          <w:sz w:val="17"/>
        </w:rPr>
        <w:t>Quelle: Francesco Dore, Das Steuer und die Lupe, Band 9b — Kleine Betriebe: Prüfen, wo jeder alles macht, Abschnitt 3.2. Edizioni Effedore 2026. © 2026 Francesco Dore. Zur Verwendung im eigenen Betrieb frei bearbeitbar. buecher.effedore.com</w:t>
      </w:r>
    </w:p>
    <w:sectPr w:rsidR="00893D66" w:rsidSect="00E0727B">
      <w:footerReference w:type="default" r:id="rId11"/>
      <w:pgSz w:w="11906" w:h="16838"/>
      <w:pgMar w:top="1134" w:right="1134" w:bottom="1134" w:left="1134" w:header="567" w:footer="567" w:gutter="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E898F0" w14:textId="77777777" w:rsidR="005C5ED4" w:rsidRDefault="005C5ED4">
      <w:r>
        <w:separator/>
      </w:r>
    </w:p>
  </w:endnote>
  <w:endnote w:type="continuationSeparator" w:id="0">
    <w:p w14:paraId="06E3297C" w14:textId="77777777" w:rsidR="005C5ED4" w:rsidRDefault="005C5E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color w:val="8C5A2B"/>
        <w:sz w:val="16"/>
      </w:rPr>
      <w:t xml:space="preserve">Das Steuer und die Lupe · Band 9b · Arbeitsmaterial 3.2 · buecher.effedore.com · Seite </w:t>
    </w:r>
    <w:r>
      <w:rPr>
        <w:color w:val="8C5A2B"/>
        <w:sz w:val="16"/>
      </w:rPr>
      <w:fldChar w:fldCharType="begin"/>
      <w:instrText xml:space="preserve"> PAGE </w:instrText>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58FF92" w14:textId="77777777" w:rsidR="005C5ED4" w:rsidRDefault="005C5ED4">
      <w:r>
        <w:separator/>
      </w:r>
    </w:p>
  </w:footnote>
  <w:footnote w:type="continuationSeparator" w:id="0">
    <w:p w14:paraId="3DE21110" w14:textId="77777777" w:rsidR="005C5ED4" w:rsidRDefault="005C5ED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7956FB0"/>
    <w:multiLevelType w:val="hybridMultilevel"/>
    <w:tmpl w:val="0F28D4BC"/>
    <w:lvl w:ilvl="0" w:tplc="BCA488E2">
      <w:start w:val="1"/>
      <w:numFmt w:val="bullet"/>
      <w:lvlText w:val="●"/>
      <w:lvlJc w:val="left"/>
      <w:pPr>
        <w:ind w:left="720" w:hanging="360"/>
      </w:pPr>
    </w:lvl>
    <w:lvl w:ilvl="1" w:tplc="E65E494E">
      <w:start w:val="1"/>
      <w:numFmt w:val="bullet"/>
      <w:lvlText w:val="○"/>
      <w:lvlJc w:val="left"/>
      <w:pPr>
        <w:ind w:left="1440" w:hanging="360"/>
      </w:pPr>
    </w:lvl>
    <w:lvl w:ilvl="2" w:tplc="B37C42D6">
      <w:start w:val="1"/>
      <w:numFmt w:val="bullet"/>
      <w:lvlText w:val="■"/>
      <w:lvlJc w:val="left"/>
      <w:pPr>
        <w:ind w:left="2160" w:hanging="360"/>
      </w:pPr>
    </w:lvl>
    <w:lvl w:ilvl="3" w:tplc="8AA6791E">
      <w:start w:val="1"/>
      <w:numFmt w:val="bullet"/>
      <w:lvlText w:val="●"/>
      <w:lvlJc w:val="left"/>
      <w:pPr>
        <w:ind w:left="2880" w:hanging="360"/>
      </w:pPr>
    </w:lvl>
    <w:lvl w:ilvl="4" w:tplc="12161D86">
      <w:start w:val="1"/>
      <w:numFmt w:val="bullet"/>
      <w:lvlText w:val="○"/>
      <w:lvlJc w:val="left"/>
      <w:pPr>
        <w:ind w:left="3600" w:hanging="360"/>
      </w:pPr>
    </w:lvl>
    <w:lvl w:ilvl="5" w:tplc="E9A63256">
      <w:start w:val="1"/>
      <w:numFmt w:val="bullet"/>
      <w:lvlText w:val="■"/>
      <w:lvlJc w:val="left"/>
      <w:pPr>
        <w:ind w:left="4320" w:hanging="360"/>
      </w:pPr>
    </w:lvl>
    <w:lvl w:ilvl="6" w:tplc="99C46150">
      <w:start w:val="1"/>
      <w:numFmt w:val="bullet"/>
      <w:lvlText w:val="●"/>
      <w:lvlJc w:val="left"/>
      <w:pPr>
        <w:ind w:left="5040" w:hanging="360"/>
      </w:pPr>
    </w:lvl>
    <w:lvl w:ilvl="7" w:tplc="90045C06">
      <w:start w:val="1"/>
      <w:numFmt w:val="bullet"/>
      <w:lvlText w:val="●"/>
      <w:lvlJc w:val="left"/>
      <w:pPr>
        <w:ind w:left="5760" w:hanging="360"/>
      </w:pPr>
    </w:lvl>
    <w:lvl w:ilvl="8" w:tplc="DE2AB570">
      <w:start w:val="1"/>
      <w:numFmt w:val="bullet"/>
      <w:lvlText w:val="●"/>
      <w:lvlJc w:val="left"/>
      <w:pPr>
        <w:ind w:left="6480" w:hanging="360"/>
      </w:pPr>
    </w:lvl>
  </w:abstractNum>
  <w:num w:numId="1" w16cid:durableId="107585453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3D66"/>
    <w:rsid w:val="000F5A2A"/>
    <w:rsid w:val="001F247D"/>
    <w:rsid w:val="00325891"/>
    <w:rsid w:val="003262EA"/>
    <w:rsid w:val="00361E33"/>
    <w:rsid w:val="003E7269"/>
    <w:rsid w:val="0042253C"/>
    <w:rsid w:val="0048736D"/>
    <w:rsid w:val="004C4293"/>
    <w:rsid w:val="004E3DB7"/>
    <w:rsid w:val="00517ED3"/>
    <w:rsid w:val="005C5ED4"/>
    <w:rsid w:val="006C3DF7"/>
    <w:rsid w:val="006E776D"/>
    <w:rsid w:val="006F43C8"/>
    <w:rsid w:val="007B14DD"/>
    <w:rsid w:val="007F46C8"/>
    <w:rsid w:val="0080511E"/>
    <w:rsid w:val="00893D66"/>
    <w:rsid w:val="00951724"/>
    <w:rsid w:val="009757EA"/>
    <w:rsid w:val="009A5878"/>
    <w:rsid w:val="009D38DB"/>
    <w:rsid w:val="00A16342"/>
    <w:rsid w:val="00A3444B"/>
    <w:rsid w:val="00AD2143"/>
    <w:rsid w:val="00BA1407"/>
    <w:rsid w:val="00BA686C"/>
    <w:rsid w:val="00C351D3"/>
    <w:rsid w:val="00C77855"/>
    <w:rsid w:val="00CC288F"/>
    <w:rsid w:val="00D353B5"/>
    <w:rsid w:val="00D35B73"/>
    <w:rsid w:val="00D734D4"/>
    <w:rsid w:val="00E03DD0"/>
    <w:rsid w:val="00E0727B"/>
    <w:rsid w:val="00E60403"/>
    <w:rsid w:val="00F362ED"/>
    <w:rsid w:val="00F979B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82714A"/>
  <w15:docId w15:val="{E50A5B75-4A9B-44AA-8215-52D4A423F4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ptos" w:eastAsia="Aptos" w:hAnsi="Aptos" w:cs="Aptos"/>
        <w:sz w:val="21"/>
        <w:szCs w:val="21"/>
        <w:lang w:val="de-DE"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uiPriority w:val="9"/>
    <w:qFormat/>
    <w:pPr>
      <w:outlineLvl w:val="0"/>
    </w:pPr>
    <w:rPr>
      <w:b/>
      <w:bCs/>
      <w:color w:val="002060"/>
      <w:sz w:val="36"/>
      <w:szCs w:val="36"/>
    </w:rPr>
  </w:style>
  <w:style w:type="paragraph" w:styleId="Titolo2">
    <w:name w:val="heading 2"/>
    <w:uiPriority w:val="9"/>
    <w:unhideWhenUsed/>
    <w:qFormat/>
    <w:pPr>
      <w:outlineLvl w:val="1"/>
    </w:pPr>
    <w:rPr>
      <w:b/>
      <w:bCs/>
      <w:color w:val="002060"/>
      <w:sz w:val="30"/>
      <w:szCs w:val="30"/>
    </w:rPr>
  </w:style>
  <w:style w:type="paragraph" w:styleId="Titolo3">
    <w:name w:val="heading 3"/>
    <w:uiPriority w:val="9"/>
    <w:unhideWhenUsed/>
    <w:qFormat/>
    <w:pPr>
      <w:outlineLvl w:val="2"/>
    </w:pPr>
    <w:rPr>
      <w:b/>
      <w:bCs/>
      <w:color w:val="002060"/>
      <w:sz w:val="24"/>
      <w:szCs w:val="24"/>
    </w:rPr>
  </w:style>
  <w:style w:type="paragraph" w:styleId="Titolo4">
    <w:name w:val="heading 4"/>
    <w:uiPriority w:val="9"/>
    <w:semiHidden/>
    <w:unhideWhenUsed/>
    <w:qFormat/>
    <w:pPr>
      <w:outlineLvl w:val="3"/>
    </w:pPr>
    <w:rPr>
      <w:i/>
      <w:iCs/>
      <w:color w:val="2E74B5"/>
    </w:rPr>
  </w:style>
  <w:style w:type="paragraph" w:styleId="Titolo5">
    <w:name w:val="heading 5"/>
    <w:uiPriority w:val="9"/>
    <w:semiHidden/>
    <w:unhideWhenUsed/>
    <w:qFormat/>
    <w:pPr>
      <w:outlineLvl w:val="4"/>
    </w:pPr>
    <w:rPr>
      <w:color w:val="2E74B5"/>
    </w:rPr>
  </w:style>
  <w:style w:type="paragraph" w:styleId="Titolo6">
    <w:name w:val="heading 6"/>
    <w:uiPriority w:val="9"/>
    <w:semiHidden/>
    <w:unhideWhenUsed/>
    <w:qFormat/>
    <w:pPr>
      <w:outlineLvl w:val="5"/>
    </w:pPr>
    <w:rPr>
      <w:color w:val="1F4D7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uiPriority w:val="10"/>
    <w:qFormat/>
    <w:rPr>
      <w:sz w:val="56"/>
      <w:szCs w:val="56"/>
    </w:rPr>
  </w:style>
  <w:style w:type="paragraph" w:customStyle="1" w:styleId="Enfasigrassetto1">
    <w:name w:val="Enfasi (grassetto)1"/>
    <w:qFormat/>
    <w:rPr>
      <w:b/>
      <w:bCs/>
    </w:rPr>
  </w:style>
  <w:style w:type="paragraph" w:styleId="Paragrafoelenco">
    <w:name w:val="List Paragraph"/>
    <w:qFormat/>
  </w:style>
  <w:style w:type="character" w:styleId="Collegamentoipertestuale">
    <w:name w:val="Hyperlink"/>
    <w:uiPriority w:val="99"/>
    <w:unhideWhenUsed/>
    <w:rPr>
      <w:color w:val="0563C1"/>
      <w:u w:val="single"/>
    </w:rPr>
  </w:style>
  <w:style w:type="character" w:styleId="Rimandonotaapidipagina">
    <w:name w:val="footnote reference"/>
    <w:uiPriority w:val="99"/>
    <w:semiHidden/>
    <w:unhideWhenUsed/>
    <w:rPr>
      <w:vertAlign w:val="superscript"/>
    </w:rPr>
  </w:style>
  <w:style w:type="paragraph" w:styleId="Testonotaapidipagina">
    <w:name w:val="footnote text"/>
    <w:link w:val="TestonotaapidipaginaCarattere"/>
    <w:uiPriority w:val="99"/>
    <w:semiHidden/>
    <w:unhideWhenUsed/>
    <w:rPr>
      <w:sz w:val="20"/>
      <w:szCs w:val="20"/>
    </w:rPr>
  </w:style>
  <w:style w:type="character" w:customStyle="1" w:styleId="TestonotaapidipaginaCarattere">
    <w:name w:val="Testo nota a piè di pagina Carattere"/>
    <w:link w:val="Testonotaapidipagina"/>
    <w:uiPriority w:val="99"/>
    <w:semiHidden/>
    <w:unhideWhenUsed/>
    <w:rPr>
      <w:sz w:val="20"/>
      <w:szCs w:val="20"/>
    </w:rPr>
  </w:style>
  <w:style w:type="character" w:styleId="Rimandonotadichiusura">
    <w:name w:val="endnote reference"/>
    <w:uiPriority w:val="99"/>
    <w:semiHidden/>
    <w:unhideWhenUsed/>
    <w:rPr>
      <w:vertAlign w:val="superscript"/>
    </w:rPr>
  </w:style>
  <w:style w:type="paragraph" w:styleId="Testonotadichiusura">
    <w:name w:val="endnote text"/>
    <w:link w:val="TestonotadichiusuraCarattere"/>
    <w:uiPriority w:val="99"/>
    <w:semiHidden/>
    <w:unhideWhenUsed/>
    <w:rPr>
      <w:sz w:val="20"/>
      <w:szCs w:val="20"/>
    </w:rPr>
  </w:style>
  <w:style w:type="character" w:customStyle="1" w:styleId="TestonotadichiusuraCarattere">
    <w:name w:val="Testo nota di chiusura Carattere"/>
    <w:link w:val="Testonotadichiusura"/>
    <w:uiPriority w:val="99"/>
    <w:semiHidden/>
    <w:unhideWhenUsed/>
    <w:rPr>
      <w:sz w:val="20"/>
      <w:szCs w:val="20"/>
    </w:rPr>
  </w:style>
  <w:style w:type="paragraph" w:styleId="Sommario1">
    <w:name w:val="toc 1"/>
    <w:basedOn w:val="Normale"/>
    <w:next w:val="Normale"/>
    <w:autoRedefine/>
    <w:uiPriority w:val="39"/>
    <w:unhideWhenUsed/>
    <w:rsid w:val="003E7269"/>
    <w:pPr>
      <w:spacing w:after="100"/>
    </w:pPr>
  </w:style>
  <w:style w:type="paragraph" w:styleId="Sommario2">
    <w:name w:val="toc 2"/>
    <w:basedOn w:val="Normale"/>
    <w:next w:val="Normale"/>
    <w:autoRedefine/>
    <w:uiPriority w:val="39"/>
    <w:unhideWhenUsed/>
    <w:rsid w:val="003E7269"/>
    <w:pPr>
      <w:spacing w:after="100"/>
      <w:ind w:left="210"/>
    </w:pPr>
  </w:style>
  <w:style w:type="paragraph" w:styleId="Titolosommario">
    <w:name w:val="TOC Heading"/>
    <w:basedOn w:val="Titolo1"/>
    <w:next w:val="Normale"/>
    <w:uiPriority w:val="39"/>
    <w:unhideWhenUsed/>
    <w:qFormat/>
    <w:rsid w:val="00E03DD0"/>
    <w:pPr>
      <w:keepNext/>
      <w:keepLines/>
      <w:spacing w:before="240" w:line="259" w:lineRule="auto"/>
      <w:outlineLvl w:val="9"/>
    </w:pPr>
    <w:rPr>
      <w:rFonts w:asciiTheme="majorHAnsi" w:eastAsiaTheme="majorEastAsia" w:hAnsiTheme="majorHAnsi" w:cstheme="majorBidi"/>
      <w:b w:val="0"/>
      <w:bCs w:val="0"/>
      <w:color w:val="0F4761" w:themeColor="accent1" w:themeShade="BF"/>
      <w:sz w:val="32"/>
      <w:szCs w:val="32"/>
      <w:lang w:val="it-IT"/>
    </w:rPr>
  </w:style>
  <w:style w:type="paragraph" w:styleId="Testocommento">
    <w:name w:val="annotation text"/>
    <w:basedOn w:val="Normale"/>
    <w:link w:val="TestocommentoCarattere"/>
    <w:uiPriority w:val="99"/>
    <w:semiHidden/>
    <w:unhideWhenUsed/>
    <w:rPr>
      <w:sz w:val="20"/>
      <w:szCs w:val="20"/>
    </w:rPr>
  </w:style>
  <w:style w:type="character" w:customStyle="1" w:styleId="TestocommentoCarattere">
    <w:name w:val="Testo commento Carattere"/>
    <w:basedOn w:val="Carpredefinitoparagrafo"/>
    <w:link w:val="Testocommento"/>
    <w:uiPriority w:val="99"/>
    <w:semiHidden/>
    <w:rPr>
      <w:sz w:val="20"/>
      <w:szCs w:val="20"/>
    </w:rPr>
  </w:style>
  <w:style w:type="character" w:styleId="Rimandocommento">
    <w:name w:val="annotation reference"/>
    <w:basedOn w:val="Carpredefinitoparagrafo"/>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4" Type="http://schemas.openxmlformats.org/officeDocument/2006/relationships/theme" Target="theme/theme1.xml"/><Relationship Id="rId4" Type="http://schemas.openxmlformats.org/officeDocument/2006/relationships/settings" Target="settings.xml"/><Relationship Id="rId43" Type="http://schemas.openxmlformats.org/officeDocument/2006/relationships/fontTable" Target="fontTable.xml"/><Relationship Id="rId3" Type="http://schemas.openxmlformats.org/officeDocument/2006/relationships/styles" Target="styles.xml"/><Relationship Id="rId11"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836847-F38A-4C5D-89BB-879B679EFE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579</Pages>
  <Words>155052</Words>
  <Characters>883797</Characters>
  <Application>Microsoft Office Word</Application>
  <DocSecurity>0</DocSecurity>
  <Lines>7364</Lines>
  <Paragraphs>2073</Paragraphs>
  <ScaleCrop>false</ScaleCrop>
  <HeadingPairs>
    <vt:vector size="2" baseType="variant">
      <vt:variant>
        <vt:lpstr>Titolo</vt:lpstr>
      </vt:variant>
      <vt:variant>
        <vt:i4>1</vt:i4>
      </vt:variant>
    </vt:vector>
  </HeadingPairs>
  <TitlesOfParts>
    <vt:vector size="1" baseType="lpstr">
      <vt:lpstr>Das Steuer und die Lupe — Band 7a — EMAS — Das Haus im Register</vt:lpstr>
    </vt:vector>
  </TitlesOfParts>
  <Company/>
  <LinksUpToDate>false</LinksUpToDate>
  <CharactersWithSpaces>1036776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Das Steuer und die Lupe — Band 9b — Kleine Betriebe — Prüfen, wo jeder alles macht</dc:title>
  <dc:creator>Francesco Dore</dc:creator>
  <cp:lastModifiedBy>Francesco Dore</cp:lastModifiedBy>
  <cp:revision>2</cp:revision>
  <cp:lastPrinted>2026-10-07T13:27:00Z</cp:lastPrinted>
  <dcterms:created xsi:type="dcterms:W3CDTF">2026-10-20T21:21:00Z</dcterms:created>
  <dcterms:modified xsi:type="dcterms:W3CDTF">2026-10-20T21:21:00Z</dcterms:modified>
</cp:coreProperties>
</file>