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3.6</w:t>
      </w:r>
    </w:p>
    <w:p>
      <w:r>
        <w:rPr>
          <w:b/>
          <w:i w:val="0"/>
          <w:sz w:val="24"/>
        </w:rPr>
        <w:t>Das Audit der Pflichten: die Liste der Rechtspflichten prüfen ohne Juristen</w:t>
      </w:r>
    </w:p>
    <w:p>
      <w:r>
        <w:rPr>
          <w:b w:val="0"/>
          <w:i/>
          <w:sz w:val="20"/>
        </w:rPr>
        <w:t>Die Liste der Rechtspflichten auditieren: zu jeder Zeile ein Nachweis, offene Rechtsfragen an Fachleute.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Wenn jemand Ihre Liste der Rechtspflichten Zeile für Zeile durchgeht: Was erwarten Sie danach zu wissen? Und wer in Ihrem Haus beantwortet die Fragen, die ein Audit stellen, aber nicht entscheiden kann?</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Vier Fragen an eine Zeile, an zwei Beispielen aus Kufstein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71"/>
        <w:gridCol w:w="3411"/>
        <w:gridCol w:w="3555"/>
      </w:tblGrid>
      <w:tr>
        <w:trPr>
          <w:tblHeader/>
        </w:trPr>
        <w:tc>
          <w:tcPr>
            <w:tcW w:w="267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341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Allergenschulung</w:t>
            </w:r>
          </w:p>
        </w:tc>
        <w:tc>
          <w:tcPr>
            <w:tcW w:w="35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Rauchwarnmelder</w:t>
            </w:r>
          </w:p>
        </w:tc>
      </w:tr>
      <w:tr>
        <w:trPr>
          <w:cantSplit/>
        </w:trPr>
        <w:tc>
          <w:tcPr>
            <w:tcW w:w="267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Gibt es einen Nachweis, wo die Liste sagt?</w:t>
            </w:r>
          </w:p>
        </w:tc>
        <w:tc>
          <w:tcPr>
            <w:tcW w:w="34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Schulungsbestätigungen im Register Personal</w:t>
            </w:r>
          </w:p>
        </w:tc>
        <w:tc>
          <w:tcPr>
            <w:tcW w:w="35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Prüfprotokoll im Register Brandschutz</w:t>
            </w:r>
          </w:p>
        </w:tc>
      </w:tr>
      <w:tr>
        <w:trPr>
          <w:cantSplit/>
        </w:trPr>
        <w:tc>
          <w:tcPr>
            <w:tcW w:w="26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Ist er aktuell und vollständig?</w:t>
            </w:r>
          </w:p>
        </w:tc>
        <w:tc>
          <w:tcPr>
            <w:tcW w:w="34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3 von 4 Servicekräften; die vierte seit September im Haus</w:t>
            </w:r>
          </w:p>
        </w:tc>
        <w:tc>
          <w:tcPr>
            <w:tcW w:w="35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Prüfung im März, alle 17 Zimmer; zwei Zimmer vor Ort gesehen</w:t>
            </w:r>
          </w:p>
        </w:tc>
      </w:tr>
      <w:tr>
        <w:trPr>
          <w:cantSplit/>
        </w:trPr>
        <w:tc>
          <w:tcPr>
            <w:tcW w:w="267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Steht die Quelle mit Stand dabei?</w:t>
            </w:r>
          </w:p>
        </w:tc>
        <w:tc>
          <w:tcPr>
            <w:tcW w:w="34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Verordnung BGBl. II Nr. 175/2014</w:t>
            </w:r>
          </w:p>
        </w:tc>
        <w:tc>
          <w:tcPr>
            <w:tcW w:w="35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«Bauordnung», ohne Fassung</w:t>
            </w:r>
          </w:p>
        </w:tc>
      </w:tr>
      <w:tr>
        <w:trPr>
          <w:cantSplit/>
        </w:trPr>
        <w:tc>
          <w:tcPr>
            <w:tcW w:w="26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Wer ist zuständig?</w:t>
            </w:r>
          </w:p>
        </w:tc>
        <w:tc>
          <w:tcPr>
            <w:tcW w:w="34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Anja</w:t>
            </w:r>
          </w:p>
        </w:tc>
        <w:tc>
          <w:tcPr>
            <w:tcW w:w="35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Herbert</w:t>
            </w:r>
          </w:p>
        </w:tc>
      </w:tr>
      <w:tr>
        <w:trPr>
          <w:cantSplit/>
        </w:trPr>
        <w:tc>
          <w:tcPr>
            <w:tcW w:w="267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Was folgt?</w:t>
            </w:r>
          </w:p>
        </w:tc>
        <w:tc>
          <w:tcPr>
            <w:tcW w:w="34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Nichtkonformität gegen die eigene Festlegung</w:t>
            </w:r>
          </w:p>
        </w:tc>
        <w:tc>
          <w:tcPr>
            <w:tcW w:w="35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Beobachtung zur Quelle; Frage an die Baubehörde zur Vernetzung</w:t>
            </w:r>
          </w:p>
        </w:tc>
      </w:tr>
    </w:tbl>
    <w:p>
      <w:pPr>
        <w:keepNext/>
        <w:spacing w:before="260" w:after="120"/>
      </w:pPr>
      <w:r>
        <w:rPr>
          <w:b/>
          <w:bCs/>
          <w:color w:val="8C5A2B"/>
          <w:sz w:val="25"/>
          <w:szCs w:val="25"/>
        </w:rPr>
        <w:t xml:space="preserve">Praktische Anwendung: die Liste der Rechtspflichten in sieben Schritten auditieren</w:t>
      </w:r>
    </w:p>
    <w:p>
      <w:pPr>
        <w:spacing w:after="140" w:line="300" w:lineRule="auto"/>
        <w:jc w:val="both"/>
      </w:pPr>
      <w:r>
        <w:rPr>
          <w:b/>
          <w:bCs/>
          <w:color w:val="1A1A1A"/>
        </w:rPr>
        <w:t xml:space="preserve">1. Die Liste in der gültigen Fassung als Kriterium festlegen.</w:t>
      </w:r>
      <w:r>
        <w:rPr>
          <w:color w:val="1A1A1A"/>
        </w:rPr>
        <w:t xml:space="preserve"> Mit Datum, vor dem Audit. Geprüft wird die Liste, wie sie ist, nicht wie sie sein sollte.</w:t>
      </w:r>
    </w:p>
    <w:p>
      <w:pPr>
        <w:spacing w:after="140" w:line="300" w:lineRule="auto"/>
        <w:jc w:val="both"/>
      </w:pPr>
      <w:r>
        <w:rPr>
          <w:b/>
          <w:bCs/>
          <w:color w:val="1A1A1A"/>
        </w:rPr>
        <w:t xml:space="preserve">2. Die Zeilen nach Gewicht ordnen.</w:t>
      </w:r>
      <w:r>
        <w:rPr>
          <w:color w:val="1A1A1A"/>
        </w:rPr>
        <w:t xml:space="preserve"> Leib und Leben zuerst, dann Gästedaten, dann der Rest. Reicht die Zeit nicht, bleibt der Rest liegen.</w:t>
      </w:r>
    </w:p>
    <w:p>
      <w:pPr>
        <w:spacing w:after="140" w:line="300" w:lineRule="auto"/>
        <w:jc w:val="both"/>
      </w:pPr>
      <w:r>
        <w:rPr>
          <w:b/>
          <w:bCs/>
          <w:color w:val="1A1A1A"/>
        </w:rPr>
        <w:t xml:space="preserve">3. Für jede Zeile den Nachweis verlangen, dort, wo die Liste ihn verortet.</w:t>
      </w:r>
      <w:r>
        <w:rPr>
          <w:color w:val="1A1A1A"/>
        </w:rPr>
        <w:t xml:space="preserve"> Ein Häkchen ist kein Nachweis. Fehlt das Papier am genannten Ort, wird «kein Nachweis gefunden» notiert, nicht «nicht erfüllt».</w:t>
      </w:r>
    </w:p>
    <w:p>
      <w:pPr>
        <w:spacing w:after="140" w:line="300" w:lineRule="auto"/>
        <w:jc w:val="both"/>
      </w:pPr>
      <w:r>
        <w:rPr>
          <w:b/>
          <w:bCs/>
          <w:color w:val="1A1A1A"/>
        </w:rPr>
        <w:t xml:space="preserve">4. Aktualität und Vollständigkeit prüfen.</w:t>
      </w:r>
      <w:r>
        <w:rPr>
          <w:color w:val="1A1A1A"/>
        </w:rPr>
        <w:t xml:space="preserve"> Gilt der Nachweis für alle Personen, alle Zimmer, den ganzen Zeitraum? Neue Beschäftigte und neue Räume sind die häufigsten Lücken.</w:t>
      </w:r>
    </w:p>
    <w:p>
      <w:pPr>
        <w:spacing w:after="140" w:line="300" w:lineRule="auto"/>
        <w:jc w:val="both"/>
      </w:pPr>
      <w:r>
        <w:rPr>
          <w:b/>
          <w:bCs/>
          <w:color w:val="1A1A1A"/>
        </w:rPr>
        <w:t xml:space="preserve">5. Am Gegenstand nachsehen, wo es geht.</w:t>
      </w:r>
      <w:r>
        <w:rPr>
          <w:color w:val="1A1A1A"/>
        </w:rPr>
        <w:t xml:space="preserve"> Melder in zwei Zimmern, Einträge eines Wochenendes, das Schild am Buffet. Gästedaten nur nach Datum und Uhrzeit.</w:t>
      </w:r>
    </w:p>
    <w:p>
      <w:pPr>
        <w:spacing w:after="140" w:line="300" w:lineRule="auto"/>
        <w:jc w:val="both"/>
      </w:pPr>
      <w:r>
        <w:rPr>
          <w:b/>
          <w:bCs/>
          <w:color w:val="1A1A1A"/>
        </w:rPr>
        <w:t xml:space="preserve">6. Den Stand der Quelle prüfen, nicht ihren Inhalt.</w:t>
      </w:r>
      <w:r>
        <w:rPr>
          <w:color w:val="1A1A1A"/>
        </w:rPr>
        <w:t xml:space="preserve"> Steht Fassung oder Datum dabei, und wurde seither nachgelesen? Den Inhalt beurteilen Fachleute.</w:t>
      </w:r>
    </w:p>
    <w:p>
      <w:pPr>
        <w:spacing w:after="140" w:line="300" w:lineRule="auto"/>
        <w:jc w:val="both"/>
      </w:pPr>
      <w:r>
        <w:rPr>
          <w:b/>
          <w:bCs/>
          <w:color w:val="1A1A1A"/>
        </w:rPr>
        <w:t xml:space="preserve">7. Rechtsfragen als Fragen an Fachleute aufschreiben.</w:t>
      </w:r>
      <w:r>
        <w:rPr>
          <w:color w:val="1A1A1A"/>
        </w:rPr>
        <w:t xml:space="preserve"> Mit Wortlaut und Adressat, in einem eigenen Teil des Berichts. Die Leitung entscheidet, wen sie fragt, und trägt die Antwort in die Liste ein.</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Hat jede Zeile unserer Liste einen Nachweis mit Ort?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Steht bei jeder Quelle ihre Fassung oder ein Datum?</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Gilt jeder Nachweis auch für Beschäftigte, die neu im Haus sind?</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Sind die Zeilen nach Gewicht geordnet, mit Brandschutz und Arbeitsschutz oben?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Gibt es Zeilen, die länger als ein halbes Jahr «in Arbeit» stehen?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Prüft das Audit einige Nachweise am Gegenstand selbst?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Stehen offene Rechtsfragen mit Adressat in einem eigenen Teil des Berichts?</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Vermeidet der Bericht Urteile über Rechtsverstöße?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Vom Audit ein Rechtsgutachten erwarten.</w:t>
      </w:r>
      <w:r>
        <w:rPr>
          <w:color w:val="1A1A1A"/>
        </w:rPr>
        <w:t xml:space="preserve"> Die Unterschrift unter dem Brief der Versicherung bleibt dann ungeprüft.</w:t>
      </w:r>
    </w:p>
    <w:p>
      <w:pPr>
        <w:spacing w:after="140" w:line="300" w:lineRule="auto"/>
        <w:jc w:val="both"/>
      </w:pPr>
      <w:r>
        <w:rPr>
          <w:b/>
          <w:bCs/>
          <w:color w:val="1A1A1A"/>
        </w:rPr>
        <w:t xml:space="preserve">Rechtsfragen im Bericht beantworten.</w:t>
      </w:r>
      <w:r>
        <w:rPr>
          <w:color w:val="1A1A1A"/>
        </w:rPr>
        <w:t xml:space="preserve"> Eine Vermutung der Auditorin wird zum Befund, auf den sich später jemand beruft.</w:t>
      </w:r>
    </w:p>
    <w:p>
      <w:pPr>
        <w:spacing w:after="140" w:line="300" w:lineRule="auto"/>
        <w:jc w:val="both"/>
      </w:pPr>
      <w:r>
        <w:rPr>
          <w:b/>
          <w:bCs/>
          <w:color w:val="1A1A1A"/>
        </w:rPr>
        <w:t xml:space="preserve">Häkchen für Nachweise halten.</w:t>
      </w:r>
      <w:r>
        <w:rPr>
          <w:color w:val="1A1A1A"/>
        </w:rPr>
        <w:t xml:space="preserve"> Das Häkchen zeigt, dass jemand die Zeile für erledigt hielt, nicht dass sie es ist.</w:t>
      </w:r>
    </w:p>
    <w:p>
      <w:pPr>
        <w:spacing w:after="140" w:line="300" w:lineRule="auto"/>
        <w:jc w:val="both"/>
      </w:pPr>
      <w:r>
        <w:rPr>
          <w:b/>
          <w:bCs/>
          <w:color w:val="1A1A1A"/>
        </w:rPr>
        <w:t xml:space="preserve">Quellen ohne Stand führen.</w:t>
      </w:r>
      <w:r>
        <w:rPr>
          <w:color w:val="1A1A1A"/>
        </w:rPr>
        <w:t xml:space="preserve"> Niemand sieht, ob eine Änderung des Rechts bemerkt wurde.</w:t>
      </w:r>
    </w:p>
    <w:p>
      <w:pPr>
        <w:spacing w:after="140" w:line="300" w:lineRule="auto"/>
        <w:jc w:val="both"/>
      </w:pPr>
      <w:r>
        <w:rPr>
          <w:b/>
          <w:bCs/>
          <w:color w:val="1A1A1A"/>
        </w:rPr>
        <w:t xml:space="preserve">«In Arbeit» stehen lassen.</w:t>
      </w:r>
      <w:r>
        <w:rPr>
          <w:color w:val="1A1A1A"/>
        </w:rPr>
        <w:t xml:space="preserve"> Nach einem Jahr ist der Vermerk eine Lücke mit freundlichem Namen.</w:t>
      </w:r>
    </w:p>
    <w:p>
      <w:pPr>
        <w:spacing w:after="140" w:line="300" w:lineRule="auto"/>
        <w:jc w:val="both"/>
      </w:pPr>
      <w:r>
        <w:rPr>
          <w:b/>
          <w:bCs/>
          <w:color w:val="1A1A1A"/>
        </w:rPr>
        <w:t xml:space="preserve">Jede Zeile gleich lang prüfen.</w:t>
      </w:r>
      <w:r>
        <w:rPr>
          <w:color w:val="1A1A1A"/>
        </w:rPr>
        <w:t xml:space="preserve"> Der Aushang bekommt so viel Zeit wie der Brandschutz.</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Audit der Liste: ein halber Tag</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4 Std.</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Kreuzauditorin; Gegenleistung im Kreuzaudit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Begleitung und Durchsprache: Anja 4 Std., Herbert 1 Std. zu € 40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€ 200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Stundenwert der Familie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Verzeichnis der Verarbeitungstätigkeiten fertigstellen: 6 Std. zu € 40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€ 240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einmalig, Anja</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Allergenschulung für eine Servicekraft</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€ 90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 Annahme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Unterweisung des Abwäschers: 1 Std. Küchenchef zu € 35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€ 35</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Auskunft eines Brandschutzfachmanns: 2 Std. zu € 120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€ 240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Annahme, falls die Baubehörde an ihn verweist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Vernetzte Rauchwarnmelder für Zimmer und Gänge, nur falls verlangt</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€ 3.400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20 Melder zu € 170, Annahme</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Die Zeilen zwei bis fünf kosten zusammen € 565, dazu kommt ein halber Tag der Kreuzauditorin. Die letzte Zeile steht nur in der Rechnung, damit die Familie die Größenordnung kennt, bevor die Antwort der Baubehörde kommt; ob sie fällig wird, entscheidet nicht das Audit. Was die Rechnung nicht enthält, ist der Wert einer Unterschrift unter einem Brief der Versicherung, die sich im Schadensfall als falsch erweist. Diesen Betrag beziffert das Buch nicht.</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3034"/>
        <w:gridCol w:w="3303"/>
      </w:tblGrid>
      <w:tr>
        <w:trPr>
          <w:tblHeader/>
        </w:trPr>
        <w:tc>
          <w:tcPr>
            <w:tcW w:w="330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0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330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30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Relevante Anforderungen bestimmen (4.2)</w:t>
            </w:r>
          </w:p>
        </w:tc>
        <w:tc>
          <w:tcPr>
            <w:tcW w:w="30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Liste der Rechtspflichten mit 22 Zeilen</w:t>
            </w:r>
          </w:p>
        </w:tc>
        <w:tc>
          <w:tcPr>
            <w:tcW w:w="330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Spalten für Quelle mit Stand, Nachweis, Ort, zuständig</w:t>
            </w:r>
          </w:p>
        </w:tc>
      </w:tr>
      <w:tr>
        <w:trPr>
          <w:cantSplit/>
        </w:trPr>
        <w:tc>
          <w:tcPr>
            <w:tcW w:w="330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Verpflichtung zur Erfüllung in der Politik (5.2)</w:t>
            </w:r>
          </w:p>
        </w:tc>
        <w:tc>
          <w:tcPr>
            <w:tcW w:w="30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 Satz in der Politik</w:t>
            </w:r>
          </w:p>
        </w:tc>
        <w:tc>
          <w:tcPr>
            <w:tcW w:w="33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keine</w:t>
            </w:r>
          </w:p>
        </w:tc>
      </w:tr>
      <w:tr>
        <w:trPr>
          <w:cantSplit/>
        </w:trPr>
        <w:tc>
          <w:tcPr>
            <w:tcW w:w="330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Konformität mit eigenen Anforderungen prüfen (9.2.1)</w:t>
            </w:r>
          </w:p>
        </w:tc>
        <w:tc>
          <w:tcPr>
            <w:tcW w:w="30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jede Zeile gegen ihren Nachweis geprüft</w:t>
            </w:r>
          </w:p>
        </w:tc>
        <w:tc>
          <w:tcPr>
            <w:tcW w:w="330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vier Fragen je Zeile</w:t>
            </w:r>
          </w:p>
        </w:tc>
      </w:tr>
      <w:tr>
        <w:trPr>
          <w:cantSplit/>
        </w:trPr>
        <w:tc>
          <w:tcPr>
            <w:tcW w:w="330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Kriterien und Umfang je Audit (9.2.2)</w:t>
            </w:r>
          </w:p>
        </w:tc>
        <w:tc>
          <w:tcPr>
            <w:tcW w:w="30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Kriterium: Liste in der Fassung vom Oktober</w:t>
            </w:r>
          </w:p>
        </w:tc>
        <w:tc>
          <w:tcPr>
            <w:tcW w:w="33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Stichprobe am Gegenstand</w:t>
            </w:r>
          </w:p>
        </w:tc>
      </w:tr>
      <w:tr>
        <w:trPr>
          <w:cantSplit/>
        </w:trPr>
        <w:tc>
          <w:tcPr>
            <w:tcW w:w="330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Ergebnisse an die zuständige Leitung (9.2.2)</w:t>
            </w:r>
          </w:p>
        </w:tc>
        <w:tc>
          <w:tcPr>
            <w:tcW w:w="30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Bericht an den Inhaber mit eigenem Teil für Fachfragen</w:t>
            </w:r>
          </w:p>
        </w:tc>
        <w:tc>
          <w:tcPr>
            <w:tcW w:w="330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ISO 19011: Feststellung gegen Kriterien</w:t>
            </w:r>
          </w:p>
        </w:tc>
      </w:tr>
      <w:tr>
        <w:trPr>
          <w:cantSplit/>
        </w:trPr>
        <w:tc>
          <w:tcPr>
            <w:tcW w:w="330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Rechtliche Anforderungen bestimmen und Erfüllung bewerten (ISO 14001, ISO 45001)</w:t>
            </w:r>
          </w:p>
        </w:tc>
        <w:tc>
          <w:tcPr>
            <w:tcW w:w="30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dieselbe Liste, mit Stand der Quelle</w:t>
            </w:r>
          </w:p>
        </w:tc>
        <w:tc>
          <w:tcPr>
            <w:tcW w:w="33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Band 1a und Band 3a der Reihe</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fünf Zeilen der Pflichtenliste in drei Ländern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88"/>
        <w:gridCol w:w="2581"/>
        <w:gridCol w:w="2581"/>
        <w:gridCol w:w="2585"/>
      </w:tblGrid>
      <w:tr>
        <w:trPr>
          <w:tblHeader/>
        </w:trPr>
        <w:tc>
          <w:tcPr>
            <w:tcW w:w="188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58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58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58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188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Gästemeldung</w:t>
            </w:r>
          </w:p>
        </w:tc>
        <w:tc>
          <w:tcPr>
            <w:tcW w:w="25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besonderer Meldeschein 1 Jahr ab Abreise, Vernichtung binnen 3 Monaten (§ 30 Abs. 4 BMG)</w:t>
            </w:r>
          </w:p>
        </w:tc>
        <w:tc>
          <w:tcPr>
            <w:tcW w:w="25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Gästeverzeichnis, Anmeldung spätestens 24 Stunden nach Eintreffen; 7 Jahre aufbewahren, dann löschen</w:t>
            </w:r>
          </w:p>
        </w:tc>
        <w:tc>
          <w:tcPr>
            <w:tcW w:w="25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Meldung ausländischer Gäste (Art. 16 AIG); kantonales Recht</w:t>
            </w:r>
          </w:p>
        </w:tc>
      </w:tr>
      <w:tr>
        <w:trPr>
          <w:cantSplit/>
        </w:trPr>
        <w:tc>
          <w:tcPr>
            <w:tcW w:w="188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Betreuung im Arbeitsschutz</w:t>
            </w:r>
          </w:p>
        </w:tc>
        <w:tc>
          <w:tcPr>
            <w:tcW w:w="25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Gefährdungsbeurteilung ohne Schwelle, dokumentiert (§§ 5, 6 ArbSchG)</w:t>
            </w:r>
          </w:p>
        </w:tc>
        <w:tc>
          <w:tcPr>
            <w:tcW w:w="25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AUVAsicher: Begehung alle 2 Jahre bei 1 bis 10 Arbeitnehmern</w:t>
            </w:r>
          </w:p>
        </w:tc>
        <w:tc>
          <w:tcPr>
            <w:tcW w:w="25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EKAS 6508: Beizug bei besonderen Gefährdungen ohne Fachwissen, auch unter 10; Nachweis dort mit einfachen Mitteln</w:t>
            </w:r>
          </w:p>
        </w:tc>
      </w:tr>
      <w:tr>
        <w:trPr>
          <w:cantSplit/>
        </w:trPr>
        <w:tc>
          <w:tcPr>
            <w:tcW w:w="188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Allergene bei offener Ware</w:t>
            </w:r>
          </w:p>
        </w:tc>
        <w:tc>
          <w:tcPr>
            <w:tcW w:w="25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schriftlich, oder mündlich mit Aufzeichnung der Zutaten (§ 4 LMIDV)</w:t>
            </w:r>
          </w:p>
        </w:tc>
        <w:tc>
          <w:tcPr>
            <w:tcW w:w="25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schriftlich, oder mündlich durch geschulte Personen (BGBl. II Nr. 175/2014)</w:t>
            </w:r>
          </w:p>
        </w:tc>
        <w:tc>
          <w:tcPr>
            <w:tcW w:w="25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Hinweis auf mündliche Auskunft; Angaben für das Personal oder fachkundige Person (Art. 5 LIV)</w:t>
            </w:r>
          </w:p>
        </w:tc>
      </w:tr>
      <w:tr>
        <w:trPr>
          <w:cantSplit/>
        </w:trPr>
        <w:tc>
          <w:tcPr>
            <w:tcW w:w="188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Rauchwarnmelder, Beispiele</w:t>
            </w:r>
          </w:p>
        </w:tc>
        <w:tc>
          <w:tcPr>
            <w:tcW w:w="25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Hamburg: in jedem Gastzimmer, ab mehr als 12 Gastbetten</w:t>
            </w:r>
          </w:p>
        </w:tc>
        <w:tc>
          <w:tcPr>
            <w:tcW w:w="25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Wien: ab 11 Betten vernetzt in Gastzimmern und Fluchtwegen</w:t>
            </w:r>
          </w:p>
        </w:tc>
        <w:tc>
          <w:tcPr>
            <w:tcW w:w="25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VKF-Brandschutznorm: Beherbergungsbetrieb ab 20 Personen</w:t>
            </w:r>
          </w:p>
        </w:tc>
      </w:tr>
      <w:tr>
        <w:trPr>
          <w:cantSplit/>
        </w:trPr>
        <w:tc>
          <w:tcPr>
            <w:tcW w:w="188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Abgabe je Nächtigung, Beispiele</w:t>
            </w:r>
          </w:p>
        </w:tc>
        <w:tc>
          <w:tcPr>
            <w:tcW w:w="25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Bayern: Satzung kann Beherbergende zum Einziehen des Kurbeitrags verpflichten (Art. 7 KAG)</w:t>
            </w:r>
          </w:p>
        </w:tc>
        <w:tc>
          <w:tcPr>
            <w:tcW w:w="25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Wien: Ortstaxe 5 % seit 1. Juli 2026, 8 % ab 1. Juli 2027; Unterkunftgeber haftet (§ 13 Abs. 1 WTFG)</w:t>
            </w:r>
          </w:p>
        </w:tc>
        <w:tc>
          <w:tcPr>
            <w:tcW w:w="25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Kanton Bern: Kurtaxe der Gemeinden nach Reglement</w:t>
            </w:r>
          </w:p>
        </w:tc>
      </w:tr>
      <w:tr>
        <w:trPr>
          <w:cantSplit/>
        </w:trPr>
        <w:tc>
          <w:tcPr>
            <w:tcW w:w="188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Rechtsverstoß feststellen</w:t>
            </w:r>
          </w:p>
        </w:tc>
        <w:tc>
          <w:tcPr>
            <w:tcW w:w="25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Behörde oder Gericht</w:t>
            </w:r>
          </w:p>
        </w:tc>
        <w:tc>
          <w:tcPr>
            <w:tcW w:w="25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ebenso</w:t>
            </w:r>
          </w:p>
        </w:tc>
        <w:tc>
          <w:tcPr>
            <w:tcW w:w="25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ebenso</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3.6.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3.6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