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3.9</w:t>
      </w:r>
    </w:p>
    <w:p>
      <w:r>
        <w:rPr>
          <w:b/>
          <w:i w:val="0"/>
          <w:sz w:val="24"/>
        </w:rPr>
        <w:t>Ferienwohnungen und Fremdleistungen im Audit</w:t>
      </w:r>
    </w:p>
    <w:p>
      <w:r>
        <w:rPr>
          <w:b w:val="0"/>
          <w:i/>
          <w:sz w:val="20"/>
        </w:rPr>
        <w:t>Ausgelagerte Abläufe auditieren: Vertrag, Stichprobe und Gästeblick bei Reinigung, Schlüsselübergabe und Buchung.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in Ihren Ferienwohnungen eine Firma reinigt, eine Box die Schlüssel ausgibt und ein Programm die Buchungen führt: Was bleibt dann für Ihr Audit zu prüfen? Und woher wissen Sie, was die Firma von Ihren Gästen weiß?</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Drei Werkzeuge für das Audit der Fremdleistung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95"/>
        <w:gridCol w:w="3754"/>
        <w:gridCol w:w="4087"/>
      </w:tblGrid>
      <w:tr>
        <w:trPr>
          <w:tblHeader/>
        </w:trPr>
        <w:tc>
          <w:tcPr>
            <w:tcW w:w="1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Werkzeug</w:t>
            </w:r>
          </w:p>
        </w:tc>
        <w:tc>
          <w:tcPr>
            <w:tcW w:w="375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408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In Mittersill</w:t>
            </w:r>
          </w:p>
        </w:tc>
      </w:tr>
      <w:tr>
        <w:trPr>
          <w:cantSplit/>
        </w:trPr>
        <w:tc>
          <w:tcPr>
            <w:tcW w:w="1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Vertrag</w:t>
            </w:r>
          </w:p>
        </w:tc>
        <w:tc>
          <w:tcPr>
            <w:tcW w:w="37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Weiß die Firma aus dem Auftrag, was das Haus verlangt?</w:t>
            </w:r>
          </w:p>
        </w:tc>
        <w:tc>
          <w:tcPr>
            <w:tcW w:w="40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eine Seite, «nach Standard»; Übergabeliste nicht beigelegt</w:t>
            </w:r>
          </w:p>
        </w:tc>
      </w:tr>
      <w:tr>
        <w:trPr>
          <w:cantSplit/>
        </w:trPr>
        <w:tc>
          <w:tcPr>
            <w:tcW w:w="1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Stichprobe</w:t>
            </w:r>
          </w:p>
        </w:tc>
        <w:tc>
          <w:tcPr>
            <w:tcW w:w="37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Wird es getan, und merkt das Haus, wenn nicht?</w:t>
            </w:r>
          </w:p>
        </w:tc>
        <w:tc>
          <w:tcPr>
            <w:tcW w:w="40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zwei Reinigungen beobachtet; sieben Mappen; fünfzehn Anreisen, nur Uhrzeiten</w:t>
            </w:r>
          </w:p>
        </w:tc>
      </w:tr>
      <w:tr>
        <w:trPr>
          <w:cantSplit/>
        </w:trPr>
        <w:tc>
          <w:tcPr>
            <w:tcW w:w="1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Gästeblick</w:t>
            </w:r>
          </w:p>
        </w:tc>
        <w:tc>
          <w:tcPr>
            <w:tcW w:w="375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Was findet der nächste Gast vor?</w:t>
            </w:r>
          </w:p>
        </w:tc>
        <w:tc>
          <w:tcPr>
            <w:tcW w:w="408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Wohnung 4 mit Code aus der Nachricht: Wasser, Melder, Mappe in Ordnung</w:t>
            </w:r>
          </w:p>
        </w:tc>
      </w:tr>
      <w:tr>
        <w:trPr>
          <w:cantSplit/>
        </w:trPr>
        <w:tc>
          <w:tcPr>
            <w:tcW w:w="1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Datenfluss</w:t>
            </w:r>
          </w:p>
        </w:tc>
        <w:tc>
          <w:tcPr>
            <w:tcW w:w="375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Bekommt die Firma nur, was sie braucht?</w:t>
            </w:r>
          </w:p>
        </w:tc>
        <w:tc>
          <w:tcPr>
            <w:tcW w:w="408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wöchentliche Liste mit Namen und Telefonnummern, Code am Ende</w:t>
            </w:r>
          </w:p>
        </w:tc>
      </w:tr>
    </w:tbl>
    <w:p>
      <w:pPr>
        <w:keepNext/>
        <w:spacing w:before="260" w:after="120"/>
      </w:pPr>
      <w:r>
        <w:rPr>
          <w:b/>
          <w:bCs/>
          <w:color w:val="8C5A2B"/>
          <w:sz w:val="25"/>
          <w:szCs w:val="25"/>
        </w:rPr>
        <w:t xml:space="preserve">Praktische Anwendung: ausgelagerte Abläufe in sieben Schritten auditieren</w:t>
      </w:r>
    </w:p>
    <w:p>
      <w:pPr>
        <w:spacing w:after="140" w:line="300" w:lineRule="auto"/>
        <w:jc w:val="both"/>
      </w:pPr>
      <w:r>
        <w:rPr>
          <w:b/>
          <w:bCs/>
          <w:color w:val="1A1A1A"/>
        </w:rPr>
        <w:t xml:space="preserve">1. Die ausgelagerten Abläufe aufschreiben.</w:t>
      </w:r>
      <w:r>
        <w:rPr>
          <w:color w:val="1A1A1A"/>
        </w:rPr>
        <w:t xml:space="preserve"> Für jeden eine Zeile: was, wer, seit wann, mit welchem Papier. Reinigung, Schlüssel, Buchung, Meldung, Wäsche, Schneeräumung.</w:t>
      </w:r>
    </w:p>
    <w:p>
      <w:pPr>
        <w:spacing w:after="140" w:line="300" w:lineRule="auto"/>
        <w:jc w:val="both"/>
      </w:pPr>
      <w:r>
        <w:rPr>
          <w:b/>
          <w:bCs/>
          <w:color w:val="1A1A1A"/>
        </w:rPr>
        <w:t xml:space="preserve">2. Den Vertrag mit einer Frage lesen.</w:t>
      </w:r>
      <w:r>
        <w:rPr>
          <w:color w:val="1A1A1A"/>
        </w:rPr>
        <w:t xml:space="preserve"> Würde die Firma aus diesem Papier wissen, was das Haus verlangt? Fehlt das Kriterium, ist das eine Feststellung, gleich wie gut die Firma arbeitet.</w:t>
      </w:r>
    </w:p>
    <w:p>
      <w:pPr>
        <w:spacing w:after="140" w:line="300" w:lineRule="auto"/>
        <w:jc w:val="both"/>
      </w:pPr>
      <w:r>
        <w:rPr>
          <w:b/>
          <w:bCs/>
          <w:color w:val="1A1A1A"/>
        </w:rPr>
        <w:t xml:space="preserve">3. Den Zugang zur Firma vereinbaren.</w:t>
      </w:r>
      <w:r>
        <w:rPr>
          <w:color w:val="1A1A1A"/>
        </w:rPr>
        <w:t xml:space="preserve"> Ob der Auditor bei einer Reinigung zusehen darf, fragt das Haus die Firma vorher. Der Auditor sieht zu, ohne einzugreifen, und richtet seine Feststellungen an das Haus.</w:t>
      </w:r>
    </w:p>
    <w:p>
      <w:pPr>
        <w:spacing w:after="140" w:line="300" w:lineRule="auto"/>
        <w:jc w:val="both"/>
      </w:pPr>
      <w:r>
        <w:rPr>
          <w:b/>
          <w:bCs/>
          <w:color w:val="1A1A1A"/>
        </w:rPr>
        <w:t xml:space="preserve">4. Die Stichprobe begründen.</w:t>
      </w:r>
      <w:r>
        <w:rPr>
          <w:color w:val="1A1A1A"/>
        </w:rPr>
        <w:t xml:space="preserve"> Alle Wohnungen, wenn es wenige sind; die Fälle mit dem größten Risiko, etwa späte Anreisen. Bei der Meldung prüfen Sie Uhrzeiten, keine Namen.</w:t>
      </w:r>
    </w:p>
    <w:p>
      <w:pPr>
        <w:spacing w:after="140" w:line="300" w:lineRule="auto"/>
        <w:jc w:val="both"/>
      </w:pPr>
      <w:r>
        <w:rPr>
          <w:b/>
          <w:bCs/>
          <w:color w:val="1A1A1A"/>
        </w:rPr>
        <w:t xml:space="preserve">5. Eine Wohnung mit dem Gästeblick betreten.</w:t>
      </w:r>
      <w:r>
        <w:rPr>
          <w:color w:val="1A1A1A"/>
        </w:rPr>
        <w:t xml:space="preserve"> Mit dem Code aus der Nachricht, ohne Hinweise: Wasser, Melder, Mappe, Nummer für die Nacht.</w:t>
      </w:r>
    </w:p>
    <w:p>
      <w:pPr>
        <w:spacing w:after="140" w:line="300" w:lineRule="auto"/>
        <w:jc w:val="both"/>
      </w:pPr>
      <w:r>
        <w:rPr>
          <w:b/>
          <w:bCs/>
          <w:color w:val="1A1A1A"/>
        </w:rPr>
        <w:t xml:space="preserve">6. Den Datenfluss prüfen.</w:t>
      </w:r>
      <w:r>
        <w:rPr>
          <w:color w:val="1A1A1A"/>
        </w:rPr>
        <w:t xml:space="preserve"> Was bekommt die Firma, über welchen Weg, wer liest es? Was sie nicht braucht, fällt aus dem Export. Codes wechseln mit jedem Wechsel.</w:t>
      </w:r>
    </w:p>
    <w:p>
      <w:pPr>
        <w:spacing w:after="140" w:line="300" w:lineRule="auto"/>
        <w:jc w:val="both"/>
      </w:pPr>
      <w:r>
        <w:rPr>
          <w:b/>
          <w:bCs/>
          <w:color w:val="1A1A1A"/>
        </w:rPr>
        <w:t xml:space="preserve">7. Den Bericht an die Eigentümerin richten, nicht an die Firma.</w:t>
      </w:r>
      <w:r>
        <w:rPr>
          <w:color w:val="1A1A1A"/>
        </w:rPr>
        <w:t xml:space="preserve"> Eine Seite: Schluss, Feststellungen, eine Stärke. Was die Firma ändern soll, bespricht danach das Haus mit ihr.</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Gibt es eine Liste aller ausgelagerten Abläufe unseres Hauses?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Steht im Auftrag der Reinigungsfirma, was nach jedem Wechsel geprüft wird?</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Arbeitet die Firma mit unserer Übergabeliste oder mit einer, die sie enthält?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Liegt in jeder Wohnung eine aktuelle Notfallmappe, und prüft das jemand nach jedem Wechsel?</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Sieht spätestens am Morgen nach der Anreise ein Mensch nach, ob jede Meldung vollständig 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Bekommt die Firma nur die Daten, die sie für ihre Arbeit braucht?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Wechselt der Code der Schlüsselbox mit jedem Gast?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Hat ein Audit in den letzten zwölf Monaten eine Wohnung mit dem Gästeblick betreten?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Den Vertrag für das Kriterium halten.</w:t>
      </w:r>
      <w:r>
        <w:rPr>
          <w:color w:val="1A1A1A"/>
        </w:rPr>
        <w:t xml:space="preserve"> «Nach Standard» heißt nach dem Standard der Firma, nicht nach dem des Hauses.</w:t>
      </w:r>
    </w:p>
    <w:p>
      <w:pPr>
        <w:spacing w:after="140" w:line="300" w:lineRule="auto"/>
        <w:jc w:val="both"/>
      </w:pPr>
      <w:r>
        <w:rPr>
          <w:b/>
          <w:bCs/>
          <w:color w:val="1A1A1A"/>
        </w:rPr>
        <w:t xml:space="preserve">Die eigene Liste in der Küche lassen.</w:t>
      </w:r>
      <w:r>
        <w:rPr>
          <w:color w:val="1A1A1A"/>
        </w:rPr>
        <w:t xml:space="preserve"> Eine Regel, die die Firma nicht kennt, steuert nichts.</w:t>
      </w:r>
    </w:p>
    <w:p>
      <w:pPr>
        <w:spacing w:after="140" w:line="300" w:lineRule="auto"/>
        <w:jc w:val="both"/>
      </w:pPr>
      <w:r>
        <w:rPr>
          <w:b/>
          <w:bCs/>
          <w:color w:val="1A1A1A"/>
        </w:rPr>
        <w:t xml:space="preserve">Von sauberen Wohnungen auf eine vollständige Übergabe schließen.</w:t>
      </w:r>
      <w:r>
        <w:rPr>
          <w:color w:val="1A1A1A"/>
        </w:rPr>
        <w:t xml:space="preserve"> Sauber ist nur einer von zwölf Punkten.</w:t>
      </w:r>
    </w:p>
    <w:p>
      <w:pPr>
        <w:spacing w:after="140" w:line="300" w:lineRule="auto"/>
        <w:jc w:val="both"/>
      </w:pPr>
      <w:r>
        <w:rPr>
          <w:b/>
          <w:bCs/>
          <w:color w:val="1A1A1A"/>
        </w:rPr>
        <w:t xml:space="preserve">Den Export ungeprüft verschicken.</w:t>
      </w:r>
      <w:r>
        <w:rPr>
          <w:color w:val="1A1A1A"/>
        </w:rPr>
        <w:t xml:space="preserve"> Was das Programm mit einem Knopf liefert, ist selten das, was die Firma braucht.</w:t>
      </w:r>
    </w:p>
    <w:p>
      <w:pPr>
        <w:spacing w:after="140" w:line="300" w:lineRule="auto"/>
        <w:jc w:val="both"/>
      </w:pPr>
      <w:r>
        <w:rPr>
          <w:b/>
          <w:bCs/>
          <w:color w:val="1A1A1A"/>
        </w:rPr>
        <w:t xml:space="preserve">Die Meldung dem Programm überlassen.</w:t>
      </w:r>
      <w:r>
        <w:rPr>
          <w:color w:val="1A1A1A"/>
        </w:rPr>
        <w:t xml:space="preserve"> Die Frist gilt für das Haus, auch wenn der Link verschickt wurde.</w:t>
      </w:r>
    </w:p>
    <w:p>
      <w:pPr>
        <w:spacing w:after="140" w:line="300" w:lineRule="auto"/>
        <w:jc w:val="both"/>
      </w:pPr>
      <w:r>
        <w:rPr>
          <w:b/>
          <w:bCs/>
          <w:color w:val="1A1A1A"/>
        </w:rPr>
        <w:t xml:space="preserve">Die Firma statt des Hauses prüfen.</w:t>
      </w:r>
      <w:r>
        <w:rPr>
          <w:color w:val="1A1A1A"/>
        </w:rPr>
        <w:t xml:space="preserve"> Die Feststellung gilt der Steuerung; die Firma hat getan, was im Auftrag stand.</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Kreuzaudit: 6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€ 240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Gegenleistung im Frühjahr in Neukirchen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Vorbereitung und Bericht der Eigentümerin: 3 Std. × € 40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€ 120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Stunden der Eigentümerin bewertet</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Gespräch mit der Firma, Liste in die App übernehmen: 2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Firma ohne Berechnung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Zwei neue Notfallmappen, Druck</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Codewechsel bei jedem Wechsel: 300 × 2 Min. = 10 Std. × € 40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Umsatz der Ferienwohnungen: 1.400 Nächte × € 140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€ 196.000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jährlich; Umsatz, nicht Gewinn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Die Rechnung kommt auf € 480 einmalig und € 400 im Jahr. Die letzte Zeile ist Umsatz und nicht Gewinn, und sie steht nur da, um das Verhältnis zu zeigen: Das ganze Haus hängt an Abläufen, die andere ausführen, und ihr Audit kostet weniger als drei Nächte einer Wohnung.</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42"/>
        <w:gridCol w:w="3396"/>
        <w:gridCol w:w="3399"/>
      </w:tblGrid>
      <w:tr>
        <w:trPr>
          <w:tblHeader/>
        </w:trPr>
        <w:tc>
          <w:tcPr>
            <w:tcW w:w="284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39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39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28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Extern bereitgestellte Prozesse steuern (8.1)</w:t>
            </w:r>
          </w:p>
        </w:tc>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Übergabeliste als Anlage zum Auftrag; Liste in der App der Firma ergänzt</w:t>
            </w:r>
          </w:p>
        </w:tc>
        <w:tc>
          <w:tcPr>
            <w:tcW w:w="33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Vertrag mit der Frage lesen, was die Firma daraus weiß</w:t>
            </w:r>
          </w:p>
        </w:tc>
      </w:tr>
      <w:tr>
        <w:trPr>
          <w:cantSplit/>
        </w:trPr>
        <w:tc>
          <w:tcPr>
            <w:tcW w:w="28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Nachweis, dass Prozesse wie geplant liefen (8.1)</w:t>
            </w:r>
          </w:p>
        </w:tc>
        <w:tc>
          <w:tcPr>
            <w:tcW w:w="33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abgehakte Liste je Wechsel, Mängelmeldungen mit Datum</w:t>
            </w:r>
          </w:p>
        </w:tc>
        <w:tc>
          <w:tcPr>
            <w:tcW w:w="33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Stichprobe mit Begründung</w:t>
            </w:r>
          </w:p>
        </w:tc>
      </w:tr>
      <w:tr>
        <w:trPr>
          <w:cantSplit/>
        </w:trPr>
        <w:tc>
          <w:tcPr>
            <w:tcW w:w="28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Anwendungsbereich festlegen (4.3)</w:t>
            </w:r>
          </w:p>
        </w:tc>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 Satz: sieben Ferienwohnungen einschließlich Reinigung, Schlüssel, Buchung</w:t>
            </w:r>
          </w:p>
        </w:tc>
        <w:tc>
          <w:tcPr>
            <w:tcW w:w="33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284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Umfang je Audit (9.2)</w:t>
            </w:r>
          </w:p>
        </w:tc>
        <w:tc>
          <w:tcPr>
            <w:tcW w:w="33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Auditplan: was das Haus nicht selbst tut</w:t>
            </w:r>
          </w:p>
        </w:tc>
        <w:tc>
          <w:tcPr>
            <w:tcW w:w="33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Gästeblick in einer frisch gereinigten Wohnung</w:t>
            </w:r>
          </w:p>
        </w:tc>
      </w:tr>
      <w:tr>
        <w:trPr>
          <w:cantSplit/>
        </w:trPr>
        <w:tc>
          <w:tcPr>
            <w:tcW w:w="284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Ergebnisse an die zuständige Leitung (9.2)</w:t>
            </w:r>
          </w:p>
        </w:tc>
        <w:tc>
          <w:tcPr>
            <w:tcW w:w="33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Bericht von einer Seite an die Eigentümerin</w:t>
            </w:r>
          </w:p>
        </w:tc>
        <w:tc>
          <w:tcPr>
            <w:tcW w:w="33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ISO 19011:2026: Programm nach Risiko bemessen; Fernmethoden</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Ferienwohnungen mit Fremdleistungen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26"/>
        <w:gridCol w:w="2569"/>
        <w:gridCol w:w="2569"/>
        <w:gridCol w:w="2571"/>
      </w:tblGrid>
      <w:tr>
        <w:trPr>
          <w:tblHeader/>
        </w:trPr>
        <w:tc>
          <w:tcPr>
            <w:tcW w:w="192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5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257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Kurzzeitvermietung, VO (EU) 2024/1028</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gilt seit 20. Mai 2026; Registrierung nur, wo Land oder Gemeinde sie einführt; in Bayern können Gemeinden sie seit 1. April 2026 einführen</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gilt seit 20. Mai 2026; Registrierung je Bundesland; Tirol und Wien voraussichtlich ab 1. Quartal 2027</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gilt nicht</w:t>
            </w:r>
          </w:p>
        </w:tc>
      </w:tr>
      <w:tr>
        <w:trPr>
          <w:cantSplit/>
        </w:trPr>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Gästemeldung</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besonderer Meldeschein nur für ausländische Gäste (§ 29 BMG)</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Gästeverzeichnis für alle Beherbergungsbetriebe, auch Privatzimmervermietung; binnen 24 Stunden; sieben Jahre aufzubewahren</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Meldung ausländischer Gäste an die kantonale Behörde (Art. 16 AIG)</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Unterschrift ohne Empfang</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elektronisch nur über die im Gesetz genannten Verfahren (§ 29 Abs. 5 BMG)</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Scan der Unterschrift, Unterschriftenpad oder qualifizierte elektronische Signatur</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Verfahren kantonal; im Kanton Zürich etwa elektronische Meldung</w:t>
            </w:r>
          </w:p>
        </w:tc>
      </w:tr>
      <w:tr>
        <w:trPr>
          <w:cantSplit/>
        </w:trPr>
        <w:tc>
          <w:tcPr>
            <w:tcW w:w="192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Gästedaten bei Dienstleistern</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nur so viele Daten wie nötig (Art. 5 DSGVO), Rechtsgrundlage (Art. 6 DSGVO)</w:t>
            </w:r>
          </w:p>
        </w:tc>
        <w:tc>
          <w:tcPr>
            <w:tcW w:w="25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wie Deutschland</w:t>
            </w:r>
          </w:p>
        </w:tc>
        <w:tc>
          <w:tcPr>
            <w:tcW w:w="257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Datenschutzgesetz</w:t>
            </w:r>
          </w:p>
        </w:tc>
      </w:tr>
      <w:tr>
        <w:trPr>
          <w:cantSplit/>
        </w:trPr>
        <w:tc>
          <w:tcPr>
            <w:tcW w:w="192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Rauchwarnmelder</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Landesrecht; in Hamburg in jedem Gastzimmer ab mehr als 12 Gastbetten</w:t>
            </w:r>
          </w:p>
        </w:tc>
        <w:tc>
          <w:tcPr>
            <w:tcW w:w="25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Landesbaurecht; in Wien bis 10 Betten unvernetzt, ab 11 vernetzt</w:t>
            </w:r>
          </w:p>
        </w:tc>
        <w:tc>
          <w:tcPr>
            <w:tcW w:w="257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VKF-Brandschutzvorschriften; kantonaler Vollzug</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3.9.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3.9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