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4.15</w:t>
      </w:r>
    </w:p>
    <w:p>
      <w:r>
        <w:rPr>
          <w:b/>
          <w:i w:val="0"/>
          <w:sz w:val="24"/>
        </w:rPr>
        <w:t>Das System bleibt, die Urkunde wechselt</w:t>
      </w:r>
    </w:p>
    <w:p>
      <w:r>
        <w:rPr>
          <w:b w:val="0"/>
          <w:i/>
          <w:sz w:val="20"/>
        </w:rPr>
        <w:t>Eine neue Urkunde ins System nehmen: Gültigkeit, Termine und Werbung in der Mappe, damit das System bleibt, wenn die Urkunde wechselt.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eine neue Urkunde in Ihr Haus kommt: Was ändert sich am nächsten Morgen in Ihrer Küche? Und was muss in den Jahren danach geschehen, damit sie an der Wand hängen bleiben darf?</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Urkunde und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9"/>
        <w:gridCol w:w="3389"/>
        <w:gridCol w:w="4319"/>
      </w:tblGrid>
      <w:tr>
        <w:trPr>
          <w:tblHeader/>
        </w:trPr>
        <w:tc>
          <w:tcPr>
            <w:tcW w:w="192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Merkmal</w:t>
            </w:r>
          </w:p>
        </w:tc>
        <w:tc>
          <w:tcPr>
            <w:tcW w:w="338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Urkunde</w:t>
            </w:r>
          </w:p>
        </w:tc>
        <w:tc>
          <w:tcPr>
            <w:tcW w:w="431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System</w:t>
            </w:r>
          </w:p>
        </w:tc>
      </w:tr>
      <w:tr>
        <w:trPr>
          <w:cantSplit/>
        </w:trPr>
        <w:tc>
          <w:tcPr>
            <w:tcW w:w="19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 entscheidet</w:t>
            </w:r>
          </w:p>
        </w:tc>
        <w:tc>
          <w:tcPr>
            <w:tcW w:w="33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der Träger nach seinen Regeln</w:t>
            </w:r>
          </w:p>
        </w:tc>
        <w:tc>
          <w:tcPr>
            <w:tcW w:w="43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die Familie in der Managementbewertung</w:t>
            </w:r>
          </w:p>
        </w:tc>
      </w:tr>
      <w:tr>
        <w:trPr>
          <w:cantSplit/>
        </w:trPr>
        <w:tc>
          <w:tcPr>
            <w:tcW w:w="19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Wie lange</w:t>
            </w:r>
          </w:p>
        </w:tc>
        <w:tc>
          <w:tcPr>
            <w:tcW w:w="33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bis zum Ablauf der Laufzeit</w:t>
            </w:r>
          </w:p>
        </w:tc>
        <w:tc>
          <w:tcPr>
            <w:tcW w:w="43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solange das Haus besteht</w:t>
            </w:r>
          </w:p>
        </w:tc>
      </w:tr>
      <w:tr>
        <w:trPr>
          <w:cantSplit/>
        </w:trPr>
        <w:tc>
          <w:tcPr>
            <w:tcW w:w="19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Was sie zeigt</w:t>
            </w:r>
          </w:p>
        </w:tc>
        <w:tc>
          <w:tcPr>
            <w:tcW w:w="33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den Teil, den der Träger prüft</w:t>
            </w:r>
          </w:p>
        </w:tc>
        <w:tc>
          <w:tcPr>
            <w:tcW w:w="43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ganze Haus</w:t>
            </w:r>
          </w:p>
        </w:tc>
      </w:tr>
      <w:tr>
        <w:trPr>
          <w:cantSplit/>
        </w:trPr>
        <w:tc>
          <w:tcPr>
            <w:tcW w:w="19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Wie oft geprüft</w:t>
            </w:r>
          </w:p>
        </w:tc>
        <w:tc>
          <w:tcPr>
            <w:tcW w:w="33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zu Beginn und bei der Folgeprüfung</w:t>
            </w:r>
          </w:p>
        </w:tc>
        <w:tc>
          <w:tcPr>
            <w:tcW w:w="43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jeden Monat im Blatt, jedes Jahr im Kreuzaudit</w:t>
            </w:r>
          </w:p>
        </w:tc>
      </w:tr>
      <w:tr>
        <w:trPr>
          <w:cantSplit/>
        </w:trPr>
        <w:tc>
          <w:tcPr>
            <w:tcW w:w="19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Wo zu finden</w:t>
            </w:r>
          </w:p>
        </w:tc>
        <w:tc>
          <w:tcPr>
            <w:tcW w:w="33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 der Wand im Flur</w:t>
            </w:r>
          </w:p>
        </w:tc>
        <w:tc>
          <w:tcPr>
            <w:tcW w:w="43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 der Mappe und im Alltag</w:t>
            </w:r>
          </w:p>
        </w:tc>
      </w:tr>
    </w:tbl>
    <w:p>
      <w:pPr>
        <w:keepNext/>
        <w:spacing w:before="260" w:after="120"/>
      </w:pPr>
      <w:r>
        <w:rPr>
          <w:b/>
          <w:bCs/>
          <w:color w:val="8C5A2B"/>
          <w:sz w:val="25"/>
          <w:szCs w:val="25"/>
        </w:rPr>
        <w:t xml:space="preserve">Praktische Anwendung: eine neue Urkunde in sieben Schritten ins System nehmen</w:t>
      </w:r>
    </w:p>
    <w:p>
      <w:pPr>
        <w:spacing w:after="140" w:line="300" w:lineRule="auto"/>
        <w:jc w:val="both"/>
      </w:pPr>
      <w:r>
        <w:rPr>
          <w:b/>
          <w:bCs/>
          <w:color w:val="1A1A1A"/>
        </w:rPr>
        <w:t xml:space="preserve">1. Die Kriterien in die Mappe nehmen.</w:t>
      </w:r>
      <w:r>
        <w:rPr>
          <w:color w:val="1A1A1A"/>
        </w:rPr>
        <w:t xml:space="preserve"> Die Anforderungen des Zeichens kommen zu den Pflichten und Festlegungen, die schon dort stehen. Ein eigener Ordner entsteht nicht, auch wenn er ordentlicher aussieht.</w:t>
      </w:r>
    </w:p>
    <w:p>
      <w:pPr>
        <w:spacing w:after="140" w:line="300" w:lineRule="auto"/>
        <w:jc w:val="both"/>
      </w:pPr>
      <w:r>
        <w:rPr>
          <w:b/>
          <w:bCs/>
          <w:color w:val="1A1A1A"/>
        </w:rPr>
        <w:t xml:space="preserve">2. Jedes Kriterium einem Menschen und einem Blatt zuordnen.</w:t>
      </w:r>
      <w:r>
        <w:rPr>
          <w:color w:val="1A1A1A"/>
        </w:rPr>
        <w:t xml:space="preserve"> Wer achtet darauf, und wo sieht man es: im Monatsblatt, in der Liste der Reinigungsmittel, am Zähler. Was keinem Blatt zugeordnet ist, wird bis zur Folgeprüfung vergessen.</w:t>
      </w:r>
    </w:p>
    <w:p>
      <w:pPr>
        <w:spacing w:after="140" w:line="300" w:lineRule="auto"/>
        <w:jc w:val="both"/>
      </w:pPr>
      <w:r>
        <w:rPr>
          <w:b/>
          <w:bCs/>
          <w:color w:val="1A1A1A"/>
        </w:rPr>
        <w:t xml:space="preserve">3. Einen Kalender der Nachweise anlegen.</w:t>
      </w:r>
      <w:r>
        <w:rPr>
          <w:color w:val="1A1A1A"/>
        </w:rPr>
        <w:t xml:space="preserve"> Folgeprüfung, Zwischenbewertung, Gebühren, Ablauf der Klassifizierung, Kreuzaudit, Managementbewertung, jeweils mit einem Erinnerungstermin. Ein Blatt in der Mappe genügt.</w:t>
      </w:r>
    </w:p>
    <w:p>
      <w:pPr>
        <w:spacing w:after="140" w:line="300" w:lineRule="auto"/>
        <w:jc w:val="both"/>
      </w:pPr>
      <w:r>
        <w:rPr>
          <w:b/>
          <w:bCs/>
          <w:color w:val="1A1A1A"/>
        </w:rPr>
        <w:t xml:space="preserve">4. Die Aussagen festlegen, bevor gedruckt wird.</w:t>
      </w:r>
      <w:r>
        <w:rPr>
          <w:color w:val="1A1A1A"/>
        </w:rPr>
        <w:t xml:space="preserve"> Schreiben Sie wörtlich auf, was Prospekt, Website und Plattformen über das Zeichen sagen. Ein Satz, der mehr behauptet als das Zeichen, wird gestrichen, bevor er gedruckt ist.</w:t>
      </w:r>
    </w:p>
    <w:p>
      <w:pPr>
        <w:spacing w:after="140" w:line="300" w:lineRule="auto"/>
        <w:jc w:val="both"/>
      </w:pPr>
      <w:r>
        <w:rPr>
          <w:b/>
          <w:bCs/>
          <w:color w:val="1A1A1A"/>
        </w:rPr>
        <w:t xml:space="preserve">5. Das interne Audit weiterführen.</w:t>
      </w:r>
      <w:r>
        <w:rPr>
          <w:color w:val="1A1A1A"/>
        </w:rPr>
        <w:t xml:space="preserve"> Der Termin für das Kreuzaudit bleibt im Programm, auch im Jahr der Prüfung. Die Prüferin sieht die Kriterien ihres Zeichens, das Kreuzaudit das ganze Haus.</w:t>
      </w:r>
    </w:p>
    <w:p>
      <w:pPr>
        <w:spacing w:after="140" w:line="300" w:lineRule="auto"/>
        <w:jc w:val="both"/>
      </w:pPr>
      <w:r>
        <w:rPr>
          <w:b/>
          <w:bCs/>
          <w:color w:val="1A1A1A"/>
        </w:rPr>
        <w:t xml:space="preserve">6. Die Entscheidung mit einem Termin zur Wiedervorlage versehen.</w:t>
      </w:r>
      <w:r>
        <w:rPr>
          <w:color w:val="1A1A1A"/>
        </w:rPr>
        <w:t xml:space="preserve"> Schreiben Sie auf das Blatt der Managementbewertung, wann über die Nachweise neu entschieden wird, am besten ein Jahr vor der Folgeprüfung.</w:t>
      </w:r>
    </w:p>
    <w:p>
      <w:pPr>
        <w:spacing w:after="140" w:line="300" w:lineRule="auto"/>
        <w:jc w:val="both"/>
      </w:pPr>
      <w:r>
        <w:rPr>
          <w:b/>
          <w:bCs/>
          <w:color w:val="1A1A1A"/>
        </w:rPr>
        <w:t xml:space="preserve">7. Die Urkunde aufhängen, wenn sie stimmt.</w:t>
      </w:r>
      <w:r>
        <w:rPr>
          <w:color w:val="1A1A1A"/>
        </w:rPr>
        <w:t xml:space="preserve"> Sie kommt an die Wand, wenn sie vergeben ist und wenn das Haus nach außen nicht mehr sagt, als sie belegt. Und sie kommt wieder herunter, wenn sie nicht mehr gilt.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Stehen die Kriterien unseres Zeichens in der Mappe und nicht in einem eigenen Ordner?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jedes Kriterium eine zuständige Person und einen Ort, an dem man es sieht?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einen Kalender mit allen Folgeprüfungen, Zwischenbewertungen und Ablaufdaten?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Sagen Prospekt, Website und Plattformen nicht mehr, als das Zeichen belegt?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Bleibt das interne Audit auch im Jahr der Prüfung im Programm?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auf dem Blatt der Managementbewertung eine Zeile für die Nachweise?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fest, wann über die Nachweise neu entschieden wird?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bei der Prüfung niemand mehr Gästedaten gesehen, als nötig war?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Die Urkunde für das Ziel halten.</w:t>
      </w:r>
      <w:r>
        <w:rPr>
          <w:color w:val="1A1A1A"/>
        </w:rPr>
        <w:t xml:space="preserve"> Sie ist der Beginn einer Laufzeit, und am Ende steht wieder eine Prüfung.</w:t>
      </w:r>
    </w:p>
    <w:p>
      <w:pPr>
        <w:spacing w:after="140" w:line="300" w:lineRule="auto"/>
        <w:jc w:val="both"/>
      </w:pPr>
      <w:r>
        <w:rPr>
          <w:b/>
          <w:bCs/>
          <w:color w:val="1A1A1A"/>
        </w:rPr>
        <w:t xml:space="preserve">Das Zeichen größer machen, als es ist.</w:t>
      </w:r>
      <w:r>
        <w:rPr>
          <w:color w:val="1A1A1A"/>
        </w:rPr>
        <w:t xml:space="preserve"> Ein Prospekt, der mehr sagt als das Zeichen, macht aus einem Nachweis eine Behauptung.</w:t>
      </w:r>
    </w:p>
    <w:p>
      <w:pPr>
        <w:spacing w:after="140" w:line="300" w:lineRule="auto"/>
        <w:jc w:val="both"/>
      </w:pPr>
      <w:r>
        <w:rPr>
          <w:b/>
          <w:bCs/>
          <w:color w:val="1A1A1A"/>
        </w:rPr>
        <w:t xml:space="preserve">Das interne Audit streichen, weil jemand von außen da war.</w:t>
      </w:r>
      <w:r>
        <w:rPr>
          <w:color w:val="1A1A1A"/>
        </w:rPr>
        <w:t xml:space="preserve"> Die Prüfung sieht das Zeichen, nicht das System.</w:t>
      </w:r>
    </w:p>
    <w:p>
      <w:pPr>
        <w:spacing w:after="140" w:line="300" w:lineRule="auto"/>
        <w:jc w:val="both"/>
      </w:pPr>
      <w:r>
        <w:rPr>
          <w:b/>
          <w:bCs/>
          <w:color w:val="1A1A1A"/>
        </w:rPr>
        <w:t xml:space="preserve">Für jeden Nachweis einen Ordner anlegen.</w:t>
      </w:r>
      <w:r>
        <w:rPr>
          <w:color w:val="1A1A1A"/>
        </w:rPr>
        <w:t xml:space="preserve"> Aus einem System werden so viele halbe.</w:t>
      </w:r>
    </w:p>
    <w:p>
      <w:pPr>
        <w:spacing w:after="140" w:line="300" w:lineRule="auto"/>
        <w:jc w:val="both"/>
      </w:pPr>
      <w:r>
        <w:rPr>
          <w:b/>
          <w:bCs/>
          <w:color w:val="1A1A1A"/>
        </w:rPr>
        <w:t xml:space="preserve">Die alten Urkunden vergessen.</w:t>
      </w:r>
      <w:r>
        <w:rPr>
          <w:color w:val="1A1A1A"/>
        </w:rPr>
        <w:t xml:space="preserve"> Jeder Nachweis hat ein Ende, auch der, der seit Jahren im Flur hängt.</w:t>
      </w:r>
    </w:p>
    <w:p>
      <w:pPr>
        <w:spacing w:after="140" w:line="300" w:lineRule="auto"/>
        <w:jc w:val="both"/>
      </w:pPr>
      <w:r>
        <w:rPr>
          <w:b/>
          <w:bCs/>
          <w:color w:val="1A1A1A"/>
        </w:rPr>
        <w:t xml:space="preserve">Die Entscheidung für endgültig halten.</w:t>
      </w:r>
      <w:r>
        <w:rPr>
          <w:color w:val="1A1A1A"/>
        </w:rPr>
        <w:t xml:space="preserve"> Kunden, Träger und Recht ändern sich; die Managementbewertung fragt jedes Jahr wieder.</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Antragsgebühr Umweltzeichen, 21 bis 100 Betten, mit Erstprüfung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€ 841</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Tarif des Trägers, jährlich zum 1. März angepasst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Jahresgebühr, mit der nächsten Folgeprüfung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€ 323 je Jahr</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Tarif des Trägers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Vorbereitung: Christine 16 Std. × € 45, Familie 24 Std. × € 35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€ 1.560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Kreuzaudit im April eingeschlossen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Prüfungstag: Christine 6 Std. × € 45, Elias 4 Std. × € 35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€ 410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Kriterien im Monatsblatt: 12 × 1 Std. × € 35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€ 420 je Jahr</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Elias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Umsatz mit den Gruppen des Veranstalters (Band 9a, 1.15)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€ 52.220 je Sommer</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Umsatz, nicht Gewinn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Energieaudit durch einen Energieberater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Angebot</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im Modul Beherbergung verlangt; hier nicht beziffert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Ohne die Jahresgebühr und ohne das Energieaudit kostet das </w:t>
      </w:r>
      <w:r>
        <w:rPr>
          <w:color w:val="1A1A1A"/>
        </w:rPr>
        <w:t xml:space="preserve">Zeichen im ersten Jahr € 3.231, davon € 2.390 in Stunden der Familie; danach jedes Jahr € 323 Gebühr und € 420 in Stunden. Nicht gerechnet ist die Arbeit am System, denn die tut die Familie ohnehin, mit oder ohne Zeichen (4.13). Daneben steht ein Sommerumsatz, der an der Antwort auf den Veranstalter hängt. Die Rechnung sagt nicht, dass sich das Zeichen bezahlt macht. Sie zeigt, dass es wenig kostet, weil das System die meiste Arbeit schon getan hatte.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87"/>
        <w:gridCol w:w="2799"/>
        <w:gridCol w:w="3250"/>
      </w:tblGrid>
      <w:tr>
        <w:trPr>
          <w:tblHeader/>
        </w:trPr>
        <w:tc>
          <w:tcPr>
            <w:tcW w:w="35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27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5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5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Managementbewertung mit Entscheidungen (9.3)</w:t>
            </w:r>
          </w:p>
        </w:tc>
        <w:tc>
          <w:tcPr>
            <w:tcW w:w="27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Blatt vom November mit dem Nachtrag vom März</w:t>
            </w:r>
          </w:p>
        </w:tc>
        <w:tc>
          <w:tcPr>
            <w:tcW w:w="32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Zeile «Nachweise» und Kalender der Nachweise</w:t>
            </w:r>
          </w:p>
        </w:tc>
      </w:tr>
      <w:tr>
        <w:trPr>
          <w:cantSplit/>
        </w:trPr>
        <w:tc>
          <w:tcPr>
            <w:tcW w:w="35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Internes Audit in geplanten Abständen (9.2)</w:t>
            </w:r>
          </w:p>
        </w:tc>
        <w:tc>
          <w:tcPr>
            <w:tcW w:w="27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 im April und im September</w:t>
            </w:r>
          </w:p>
        </w:tc>
        <w:tc>
          <w:tcPr>
            <w:tcW w:w="32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Kreuzaudit als Vorbereitung auf eine Prüfung</w:t>
            </w:r>
          </w:p>
        </w:tc>
      </w:tr>
      <w:tr>
        <w:trPr>
          <w:cantSplit/>
        </w:trPr>
        <w:tc>
          <w:tcPr>
            <w:tcW w:w="35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Fortlaufende Verbesserung (10.1)</w:t>
            </w:r>
          </w:p>
        </w:tc>
        <w:tc>
          <w:tcPr>
            <w:tcW w:w="27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Vergleich der Blätter zweier Jahre</w:t>
            </w:r>
          </w:p>
        </w:tc>
        <w:tc>
          <w:tcPr>
            <w:tcW w:w="32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Reifegradleiter (Band 9a, 2.15); </w:t>
            </w:r>
            <w:r>
              <w:rPr>
                <w:color w:val="1A1A1A"/>
                <w:sz w:val="17"/>
                <w:szCs w:val="17"/>
              </w:rPr>
              <w:t xml:space="preserve">ISO 14005, Anhang A</w:t>
            </w:r>
          </w:p>
        </w:tc>
      </w:tr>
      <w:tr>
        <w:trPr>
          <w:cantSplit/>
        </w:trPr>
        <w:tc>
          <w:tcPr>
            <w:tcW w:w="35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Interne Zwischenbewertung mindestens alle zwei Jahre (Richtlinie UZ 200)</w:t>
            </w:r>
          </w:p>
        </w:tc>
        <w:tc>
          <w:tcPr>
            <w:tcW w:w="27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Termin im Kalender, Ergebnis in der Mappe</w:t>
            </w:r>
          </w:p>
        </w:tc>
        <w:tc>
          <w:tcPr>
            <w:tcW w:w="32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mit der Managementbewertung verbinden</w:t>
            </w:r>
          </w:p>
        </w:tc>
      </w:tr>
      <w:tr>
        <w:trPr>
          <w:cantSplit/>
        </w:trPr>
        <w:tc>
          <w:tcPr>
            <w:tcW w:w="35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Folgeprüfung nach der Laufzeit des Vertrags</w:t>
            </w:r>
          </w:p>
        </w:tc>
        <w:tc>
          <w:tcPr>
            <w:tcW w:w="27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Datum im Kalender der Nachweise</w:t>
            </w:r>
          </w:p>
        </w:tc>
        <w:tc>
          <w:tcPr>
            <w:tcW w:w="32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5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Gültigkeit der Klassifizierung drei bis höchstens sechs Jahre (Katalog der WKO)</w:t>
            </w:r>
          </w:p>
        </w:tc>
        <w:tc>
          <w:tcPr>
            <w:tcW w:w="27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Ablaufdatum der Sterne im selben Kalender</w:t>
            </w:r>
          </w:p>
        </w:tc>
        <w:tc>
          <w:tcPr>
            <w:tcW w:w="32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ein Zeichen neben dem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7"/>
        <w:gridCol w:w="2585"/>
        <w:gridCol w:w="2585"/>
        <w:gridCol w:w="2588"/>
      </w:tblGrid>
      <w:tr>
        <w:trPr>
          <w:tblHeader/>
        </w:trPr>
        <w:tc>
          <w:tcPr>
            <w:tcW w:w="18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Geprüftes Umweltzeichen</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EU-Umweltzeichen, zuständig RAL; Prüfung vor Ort vor der Vergabe</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UZ 200, staatlich, Prüfer über den VKI; EU-Umweltzeichen</w:t>
            </w:r>
          </w:p>
        </w:tc>
        <w:tc>
          <w:tcPr>
            <w:tcW w:w="25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als Programm, kein Zertifizierungssystem; auf Level III anerkannte Zertifikate</w:t>
            </w:r>
          </w:p>
        </w:tc>
      </w:tr>
      <w:tr>
        <w:trPr>
          <w:cantSplit/>
        </w:trPr>
        <w:tc>
          <w:tcPr>
            <w:tcW w:w="18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Punkte in der Klassifizierung</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Hotelstars, Nr. 238: 20 Punkte</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WKO, Nr. 238: 20 Punkte</w:t>
            </w:r>
          </w:p>
        </w:tc>
        <w:tc>
          <w:tcPr>
            <w:tcW w:w="25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Nr. 41: anerkanntes Label erfüllt die jährliche Messung des Verbrauchs</w:t>
            </w:r>
          </w:p>
        </w:tc>
      </w:tr>
      <w:tr>
        <w:trPr>
          <w:cantSplit/>
        </w:trPr>
        <w:tc>
          <w:tcPr>
            <w:tcW w:w="18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Beratung zur Vorbereitung</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BAFA: Unternehmensberatungen für KMU, Richtlinie bis 31.12.2026</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Landesprogramme, in Tirol ecotirol</w:t>
            </w:r>
          </w:p>
        </w:tc>
        <w:tc>
          <w:tcPr>
            <w:tcW w:w="25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PEIK: Energieberatung, zur Hälfte gefördert, höchstens CHF 2.500</w:t>
            </w:r>
          </w:p>
        </w:tc>
      </w:tr>
      <w:tr>
        <w:trPr>
          <w:cantSplit/>
        </w:trPr>
        <w:tc>
          <w:tcPr>
            <w:tcW w:w="18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Werbung mit dem Zeichen</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UWG, Anhang Nr. 2a, 4a bis 4c, seit 27.09.2026</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UWG-Novelle BGBl. I Nr. 58/2026, seit 27.09.2026</w:t>
            </w:r>
          </w:p>
        </w:tc>
        <w:tc>
          <w:tcPr>
            <w:tcW w:w="25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Art. 3 Abs. 1 lit. x UWG für Klimaaussagen</w:t>
            </w:r>
          </w:p>
        </w:tc>
      </w:tr>
      <w:tr>
        <w:trPr>
          <w:cantSplit/>
        </w:trPr>
        <w:tc>
          <w:tcPr>
            <w:tcW w:w="18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Daten, die der Prüfer sieht</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DSGVO</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DSGVO</w:t>
            </w:r>
          </w:p>
        </w:tc>
        <w:tc>
          <w:tcPr>
            <w:tcW w:w="25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Datenschutzgesetz</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4.15.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