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4.2</w:t>
      </w:r>
    </w:p>
    <w:p>
      <w:r>
        <w:rPr>
          <w:b/>
          <w:i w:val="0"/>
          <w:sz w:val="24"/>
        </w:rPr>
        <w:t>Die Behörde im Haus: Kontrolle ist kein Audit</w:t>
      </w:r>
    </w:p>
    <w:p>
      <w:r>
        <w:rPr>
          <w:b w:val="0"/>
          <w:i/>
          <w:sz w:val="20"/>
        </w:rPr>
        <w:t>Eine Behördenkontrolle vorbereiten und nachbereiten: die Unterlagen aus der Mappe, ein Ansprechpartner und jede Beanstandung als Nichtkonformität im eigenen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die Lebensmittelaufsicht Ihr Haus ohne Beanstandung verlässt: Was genau hat sie gesehen, und was nicht? Und wer schaut in Ihrem Haus auf den Rest?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Behördliche Kontrolle und internes Audit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9"/>
        <w:gridCol w:w="3505"/>
        <w:gridCol w:w="4272"/>
      </w:tblGrid>
      <w:tr>
        <w:trPr>
          <w:tblHeader/>
        </w:trPr>
        <w:tc>
          <w:tcPr>
            <w:tcW w:w="185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Merkmal</w:t>
            </w:r>
          </w:p>
        </w:tc>
        <w:tc>
          <w:tcPr>
            <w:tcW w:w="3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Behördliche Kontrolle</w:t>
            </w:r>
          </w:p>
        </w:tc>
        <w:tc>
          <w:tcPr>
            <w:tcW w:w="427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Internes Audit</w:t>
            </w:r>
          </w:p>
        </w:tc>
      </w:tr>
      <w:tr>
        <w:trPr>
          <w:cantSplit/>
        </w:trPr>
        <w:tc>
          <w:tcPr>
            <w:tcW w:w="18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Grundlage</w:t>
            </w:r>
          </w:p>
        </w:tc>
        <w:tc>
          <w:tcPr>
            <w:tcW w:w="3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Gesetz und Verordnung</w:t>
            </w:r>
          </w:p>
        </w:tc>
        <w:tc>
          <w:tcPr>
            <w:tcW w:w="427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harmonisierte Struktur, eigene Anforderungen des Hauses</w:t>
            </w:r>
          </w:p>
        </w:tc>
      </w:tr>
      <w:tr>
        <w:trPr>
          <w:cantSplit/>
        </w:trPr>
        <w:tc>
          <w:tcPr>
            <w:tcW w:w="18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Anlass</w:t>
            </w:r>
          </w:p>
        </w:tc>
        <w:tc>
          <w:tcPr>
            <w:tcW w:w="3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Zuständigkeit der Behörde, oft unangemeldet</w:t>
            </w:r>
          </w:p>
        </w:tc>
        <w:tc>
          <w:tcPr>
            <w:tcW w:w="42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Auditprogramm, geplant</w:t>
            </w:r>
          </w:p>
        </w:tc>
      </w:tr>
      <w:tr>
        <w:trPr>
          <w:cantSplit/>
        </w:trPr>
        <w:tc>
          <w:tcPr>
            <w:tcW w:w="18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Gegenstand</w:t>
            </w:r>
          </w:p>
        </w:tc>
        <w:tc>
          <w:tcPr>
            <w:tcW w:w="3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Pflichten in ihrem Bereich</w:t>
            </w:r>
          </w:p>
        </w:tc>
        <w:tc>
          <w:tcPr>
            <w:tcW w:w="427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 System in allen festgelegten Bereichen</w:t>
            </w:r>
          </w:p>
        </w:tc>
      </w:tr>
      <w:tr>
        <w:trPr>
          <w:cantSplit/>
        </w:trPr>
        <w:tc>
          <w:tcPr>
            <w:tcW w:w="18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Wer prüft</w:t>
            </w:r>
          </w:p>
        </w:tc>
        <w:tc>
          <w:tcPr>
            <w:tcW w:w="3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Kontrolleur der Behörde</w:t>
            </w:r>
          </w:p>
        </w:tc>
        <w:tc>
          <w:tcPr>
            <w:tcW w:w="42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wer nicht die eigene Arbeit prüft</w:t>
            </w:r>
          </w:p>
        </w:tc>
      </w:tr>
      <w:tr>
        <w:trPr>
          <w:cantSplit/>
        </w:trPr>
        <w:tc>
          <w:tcPr>
            <w:tcW w:w="185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Folge</w:t>
            </w:r>
          </w:p>
        </w:tc>
        <w:tc>
          <w:tcPr>
            <w:tcW w:w="3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Hinweis, Anordnung, Frist</w:t>
            </w:r>
          </w:p>
        </w:tc>
        <w:tc>
          <w:tcPr>
            <w:tcW w:w="427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an die Leitung; die Leitung entscheidet</w:t>
            </w:r>
          </w:p>
        </w:tc>
      </w:tr>
      <w:tr>
        <w:trPr>
          <w:cantSplit/>
        </w:trPr>
        <w:tc>
          <w:tcPr>
            <w:tcW w:w="185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Rechtsverstoß</w:t>
            </w:r>
          </w:p>
        </w:tc>
        <w:tc>
          <w:tcPr>
            <w:tcW w:w="3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stellt die Behörde fest</w:t>
            </w:r>
          </w:p>
        </w:tc>
        <w:tc>
          <w:tcPr>
            <w:tcW w:w="42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stellt das Audit nicht verbindlich fest</w:t>
            </w:r>
          </w:p>
        </w:tc>
      </w:tr>
    </w:tbl>
    <w:p>
      <w:pPr>
        <w:keepNext/>
        <w:spacing w:before="260" w:after="120"/>
      </w:pPr>
      <w:r>
        <w:rPr>
          <w:b/>
          <w:bCs/>
          <w:color w:val="8C5A2B"/>
          <w:sz w:val="25"/>
          <w:szCs w:val="25"/>
        </w:rPr>
        <w:t xml:space="preserve">Praktische Anwendung: eine Behördenkontrolle in sieben Schritten vorbereiten und nachbereiten</w:t>
      </w:r>
    </w:p>
    <w:p>
      <w:pPr>
        <w:spacing w:after="140" w:line="300" w:lineRule="auto"/>
        <w:jc w:val="both"/>
      </w:pPr>
      <w:r>
        <w:rPr>
          <w:b/>
          <w:bCs/>
          <w:color w:val="1A1A1A"/>
        </w:rPr>
        <w:t xml:space="preserve">1. Eine dünne Mappe für die Behörde anlegen.</w:t>
      </w:r>
      <w:r>
        <w:rPr>
          <w:color w:val="1A1A1A"/>
        </w:rPr>
        <w:t xml:space="preserve"> Eintragung, Schulungsnachweise aller, die mit Lebensmitteln arbeiten oder Auskunft geben, Allergenliste, Blätter zur Kühlung, der letzte Bericht mit dem, was daraus geworden ist. Sie liegt an einem festen Ort, nicht im Schreibtisch der Inhaberin.</w:t>
      </w:r>
    </w:p>
    <w:p>
      <w:pPr>
        <w:spacing w:after="140" w:line="300" w:lineRule="auto"/>
        <w:jc w:val="both"/>
      </w:pPr>
      <w:r>
        <w:rPr>
          <w:b/>
          <w:bCs/>
          <w:color w:val="1A1A1A"/>
        </w:rPr>
        <w:t xml:space="preserve">2. Festlegen, wer begleitet.</w:t>
      </w:r>
      <w:r>
        <w:rPr>
          <w:color w:val="1A1A1A"/>
        </w:rPr>
        <w:t xml:space="preserve"> Wer im Haus ist, wenn die Inhaberin fehlt, weiß, wo die Mappe liegt, und darf Auskunft geben. Das steht auf dem Stellvertretungsblatt.</w:t>
      </w:r>
    </w:p>
    <w:p>
      <w:pPr>
        <w:spacing w:after="140" w:line="300" w:lineRule="auto"/>
        <w:jc w:val="both"/>
      </w:pPr>
      <w:r>
        <w:rPr>
          <w:b/>
          <w:bCs/>
          <w:color w:val="1A1A1A"/>
        </w:rPr>
        <w:t xml:space="preserve">3. Zeigen, was ist.</w:t>
      </w:r>
      <w:r>
        <w:rPr>
          <w:color w:val="1A1A1A"/>
        </w:rPr>
        <w:t xml:space="preserve"> Begleiten Sie den Kontrolleur, beantworten Sie Fragen sachlich und tragen Sie nichts nach. Wenn Sie nicht wissen, worauf sich eine Frage stützt, fragen Sie höflich nach.</w:t>
      </w:r>
    </w:p>
    <w:p>
      <w:pPr>
        <w:spacing w:after="140" w:line="300" w:lineRule="auto"/>
        <w:jc w:val="both"/>
      </w:pPr>
      <w:r>
        <w:rPr>
          <w:b/>
          <w:bCs/>
          <w:color w:val="1A1A1A"/>
        </w:rPr>
        <w:t xml:space="preserve">4. Mitschreiben.</w:t>
      </w:r>
      <w:r>
        <w:rPr>
          <w:color w:val="1A1A1A"/>
        </w:rPr>
        <w:t xml:space="preserve"> Was gemessen, angesehen und gesagt wurde, mit Uhrzeit. Den Bericht bewahren Sie im Original in der Behördenmappe auf.</w:t>
      </w:r>
    </w:p>
    <w:p>
      <w:pPr>
        <w:spacing w:after="140" w:line="300" w:lineRule="auto"/>
        <w:jc w:val="both"/>
      </w:pPr>
      <w:r>
        <w:rPr>
          <w:b/>
          <w:bCs/>
          <w:color w:val="1A1A1A"/>
        </w:rPr>
        <w:t xml:space="preserve">5. Aus jedem Hinweis am selben Tag eine Notiz machen.</w:t>
      </w:r>
      <w:r>
        <w:rPr>
          <w:color w:val="1A1A1A"/>
        </w:rPr>
        <w:t xml:space="preserve"> Was wurde gefunden, warum ist es so, welche Maßnahme, wer, bis wann. Die Notiz kommt in das Register der Nichtkonformitäten.</w:t>
      </w:r>
    </w:p>
    <w:p>
      <w:pPr>
        <w:spacing w:after="140" w:line="300" w:lineRule="auto"/>
        <w:jc w:val="both"/>
      </w:pPr>
      <w:r>
        <w:rPr>
          <w:b/>
          <w:bCs/>
          <w:color w:val="1A1A1A"/>
        </w:rPr>
        <w:t xml:space="preserve">6. Die Hinweise ins Auditprogramm schreiben.</w:t>
      </w:r>
      <w:r>
        <w:rPr>
          <w:color w:val="1A1A1A"/>
        </w:rPr>
        <w:t xml:space="preserve"> Beim nächsten internen Audit prüft die Auditorin nicht den Hinweis, sondern ob die Ursache beseitigt ist und ob es ähnliche Fälle gibt.</w:t>
      </w:r>
    </w:p>
    <w:p>
      <w:pPr>
        <w:spacing w:after="140" w:line="300" w:lineRule="auto"/>
        <w:jc w:val="both"/>
      </w:pPr>
      <w:r>
        <w:rPr>
          <w:b/>
          <w:bCs/>
          <w:color w:val="1A1A1A"/>
        </w:rPr>
        <w:t xml:space="preserve">7. Den Audittermin halten.</w:t>
      </w:r>
      <w:r>
        <w:rPr>
          <w:color w:val="1A1A1A"/>
        </w:rPr>
        <w:t xml:space="preserve"> Eine bestandene Kontrolle ist ein gutes Ergebnis für einen Bereich an einem Tag. Das Audit bleibt im Kalender, und der Bericht der Kontrolle kommt in die Managementbewertung.</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Liegt eine Mappe mit den Pflichtnachweisen an einem Ort, den alle kennen?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darin die Schulungsnachweise aller, die über Allergene Auskunft 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die Eintragung aktuell, und sind Änderungen im Betrieb gemeldet?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Weiß jeder im Haus, wer die Behörde begleitet, wenn die Inhaberin fehlt?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Wurde jeder Hinweis aus der letzten Kontrolle als Notiz mit Ursache und Maßnahme bearbeitet?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die Hinweise der Behörde im Auditprogramm?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Unterscheiden wir Kontrollen der Behörde von Präventionsbesuchen?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Bleibt das interne Audit im Kalender, auch nach einer Kontrolle ohne Beanstandung?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Eine bestandene Kontrolle für ein Audit halten.</w:t>
      </w:r>
      <w:r>
        <w:rPr>
          <w:color w:val="1A1A1A"/>
        </w:rPr>
        <w:t xml:space="preserve"> Sie hat einen Bereich an einem Tag gesehen, nicht das System.</w:t>
      </w:r>
    </w:p>
    <w:p>
      <w:pPr>
        <w:spacing w:after="140" w:line="300" w:lineRule="auto"/>
        <w:jc w:val="both"/>
      </w:pPr>
      <w:r>
        <w:rPr>
          <w:b/>
          <w:bCs/>
          <w:color w:val="1A1A1A"/>
        </w:rPr>
        <w:t xml:space="preserve">Hinweise ablegen, weil nichts angeordnet wurde.</w:t>
      </w:r>
      <w:r>
        <w:rPr>
          <w:color w:val="1A1A1A"/>
        </w:rPr>
        <w:t xml:space="preserve"> Sie stehen beim nächsten Besuch wieder im Bericht, dann womöglich mit schärferem Ton.</w:t>
      </w:r>
    </w:p>
    <w:p>
      <w:pPr>
        <w:spacing w:after="140" w:line="300" w:lineRule="auto"/>
        <w:jc w:val="both"/>
      </w:pPr>
      <w:r>
        <w:rPr>
          <w:b/>
          <w:bCs/>
          <w:color w:val="1A1A1A"/>
        </w:rPr>
        <w:t xml:space="preserve">Die Nachweise im Schreibtisch der Inhaberin lassen.</w:t>
      </w:r>
      <w:r>
        <w:rPr>
          <w:color w:val="1A1A1A"/>
        </w:rPr>
        <w:t xml:space="preserve"> Wer sie an diesem Tag braucht, findet sie nicht.</w:t>
      </w:r>
    </w:p>
    <w:p>
      <w:pPr>
        <w:spacing w:after="140" w:line="300" w:lineRule="auto"/>
        <w:jc w:val="both"/>
      </w:pPr>
      <w:r>
        <w:rPr>
          <w:b/>
          <w:bCs/>
          <w:color w:val="1A1A1A"/>
        </w:rPr>
        <w:t xml:space="preserve">Für die Kontrolle etwas herrichten.</w:t>
      </w:r>
      <w:r>
        <w:rPr>
          <w:color w:val="1A1A1A"/>
        </w:rPr>
        <w:t xml:space="preserve"> Die Behörde sieht die Vorstellung, und die Lücke bleibt.</w:t>
      </w:r>
    </w:p>
    <w:p>
      <w:pPr>
        <w:spacing w:after="140" w:line="300" w:lineRule="auto"/>
        <w:jc w:val="both"/>
      </w:pPr>
      <w:r>
        <w:rPr>
          <w:b/>
          <w:bCs/>
          <w:color w:val="1A1A1A"/>
        </w:rPr>
        <w:t xml:space="preserve">Von der Auditorin eine Rechtsfeststellung erwarten.</w:t>
      </w:r>
      <w:r>
        <w:rPr>
          <w:color w:val="1A1A1A"/>
        </w:rPr>
        <w:t xml:space="preserve"> Sie bewertet Nachweise; über einen Rechtsverstoß entscheidet die Behörde.</w:t>
      </w:r>
    </w:p>
    <w:p>
      <w:pPr>
        <w:spacing w:after="140" w:line="300" w:lineRule="auto"/>
        <w:jc w:val="both"/>
      </w:pPr>
      <w:r>
        <w:rPr>
          <w:b/>
          <w:bCs/>
          <w:color w:val="1A1A1A"/>
        </w:rPr>
        <w:t xml:space="preserve">Das Audit zur Generalprobe für die Behörde machen.</w:t>
      </w:r>
      <w:r>
        <w:rPr>
          <w:color w:val="1A1A1A"/>
        </w:rPr>
        <w:t xml:space="preserve"> Dann prüft es nur die Pflichten und übersieht den Rest des Systems.</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Stundenwert der Inhaber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€ 40 je Stunde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 für alle Zeilen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Suche während der Kontrolle: 0,5 Std.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 Vormittag ohne Behördenmappe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Behördenmappe anlegen: 3 Std.</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Ingrid</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Zwei Hinweise als Notizen bearbeiten, Meldung der Verlegung: 4 Std.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Aufstriche ohne Datum verworfen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Wareneinsatz zweier Schüsseln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Internes Audit im September: 8 Std. im eigenen Haus, 8 Std. als Gegenbesuch</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€ 640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16 Std.; Kreuzaudit ohne Honorar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Nachbereitung der Kontrolle kostet das Haus € 345, die Suche und die verworfenen Aufstriche eingerechnet. Das Audit im September kostet fast doppelt so viel, und es ist der einzige der beiden Besuche, der auf die anderen sieben Zeilen des Programms schaut. Die Rechnung sagt nicht, dass das Audit sich bezahlt macht. Sie zeigt, dass Walters Ersparnis vom Freitagabend € 640 betragen hätte und den Blick auf sieben Achtel des Hauses gekostet hätte.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3"/>
        <w:gridCol w:w="2808"/>
        <w:gridCol w:w="3415"/>
      </w:tblGrid>
      <w:tr>
        <w:trPr>
          <w:tblHeader/>
        </w:trPr>
        <w:tc>
          <w:tcPr>
            <w:tcW w:w="34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280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41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4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Eintragung und Änderungen melden (Art. 6 Abs. 2 VO 852/2004)</w:t>
            </w:r>
          </w:p>
        </w:tc>
        <w:tc>
          <w:tcPr>
            <w:tcW w:w="28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Bestätigung in der Mappe, Meldung der Verlegung</w:t>
            </w:r>
          </w:p>
        </w:tc>
        <w:tc>
          <w:tcPr>
            <w:tcW w:w="341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Pflichtenliste mit Zeile «Änderung im Betrieb»</w:t>
            </w:r>
          </w:p>
        </w:tc>
      </w:tr>
      <w:tr>
        <w:trPr>
          <w:cantSplit/>
        </w:trPr>
        <w:tc>
          <w:tcPr>
            <w:tcW w:w="34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Nachweis in der Form, die die Behörde verlangt (Art. 5 Abs. 4)</w:t>
            </w:r>
          </w:p>
        </w:tc>
        <w:tc>
          <w:tcPr>
            <w:tcW w:w="28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Blätter zur Kühlung, Bericht der Kontrolle</w:t>
            </w:r>
          </w:p>
        </w:tc>
        <w:tc>
          <w:tcPr>
            <w:tcW w:w="341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4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Geschulte Personen für mündliche Allergenauskunft (AIV)</w:t>
            </w:r>
          </w:p>
        </w:tc>
        <w:tc>
          <w:tcPr>
            <w:tcW w:w="28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Schulungsnachweise aller, die Auskunft geben</w:t>
            </w:r>
          </w:p>
        </w:tc>
        <w:tc>
          <w:tcPr>
            <w:tcW w:w="341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Nachweise in der Behördenmappe, nicht im Schreibtisch</w:t>
            </w:r>
          </w:p>
        </w:tc>
      </w:tr>
      <w:tr>
        <w:trPr>
          <w:cantSplit/>
        </w:trPr>
        <w:tc>
          <w:tcPr>
            <w:tcW w:w="34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Interne Audits nach Programm (9.2)</w:t>
            </w:r>
          </w:p>
        </w:tc>
        <w:tc>
          <w:tcPr>
            <w:tcW w:w="28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Programm mit acht Zeilen, Termin im September</w:t>
            </w:r>
          </w:p>
        </w:tc>
        <w:tc>
          <w:tcPr>
            <w:tcW w:w="341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 19011:2026: Programm nach Größe und Risiken bemessen</w:t>
            </w:r>
          </w:p>
        </w:tc>
      </w:tr>
      <w:tr>
        <w:trPr>
          <w:cantSplit/>
        </w:trPr>
        <w:tc>
          <w:tcPr>
            <w:tcW w:w="34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Nichtkonformitäten bearbeiten (10.2)</w:t>
            </w:r>
          </w:p>
        </w:tc>
        <w:tc>
          <w:tcPr>
            <w:tcW w:w="280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zwei Notizen mit Ursache, Maßnahme, Termin</w:t>
            </w:r>
          </w:p>
        </w:tc>
        <w:tc>
          <w:tcPr>
            <w:tcW w:w="341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Hinweise der Behörde ins Auditprogramm</w:t>
            </w:r>
          </w:p>
        </w:tc>
      </w:tr>
      <w:tr>
        <w:trPr>
          <w:cantSplit/>
        </w:trPr>
        <w:tc>
          <w:tcPr>
            <w:tcW w:w="34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Ergebnisse an die zuständige Leitung (9.2)</w:t>
            </w:r>
          </w:p>
        </w:tc>
        <w:tc>
          <w:tcPr>
            <w:tcW w:w="28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Bericht der Auditorin an Walter und Ingrid</w:t>
            </w:r>
          </w:p>
        </w:tc>
        <w:tc>
          <w:tcPr>
            <w:tcW w:w="341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Bericht auf einer Seite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Behörden im kleinen Haus prüfen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3"/>
        <w:gridCol w:w="2520"/>
        <w:gridCol w:w="2520"/>
        <w:gridCol w:w="2523"/>
      </w:tblGrid>
      <w:tr>
        <w:trPr>
          <w:tblHeader/>
        </w:trPr>
        <w:tc>
          <w:tcPr>
            <w:tcW w:w="20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2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20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Lebensmittelhygiene</w:t>
            </w:r>
          </w:p>
        </w:tc>
        <w:tc>
          <w:tcPr>
            <w:tcW w:w="25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HACCP-Grundsätze, Eintragung (Art. 5, 6 VO 852/2004)</w:t>
            </w:r>
          </w:p>
        </w:tc>
        <w:tc>
          <w:tcPr>
            <w:tcW w:w="25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 EU-Recht</w:t>
            </w:r>
          </w:p>
        </w:tc>
        <w:tc>
          <w:tcPr>
            <w:tcW w:w="25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Lebensmittelrecht des Bundes, kantonaler Vollzug; Leitlinie GVG</w:t>
            </w:r>
          </w:p>
        </w:tc>
      </w:tr>
      <w:tr>
        <w:trPr>
          <w:cantSplit/>
        </w:trPr>
        <w:tc>
          <w:tcPr>
            <w:tcW w:w="20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Allergene bei offener Ware</w:t>
            </w:r>
          </w:p>
        </w:tc>
        <w:tc>
          <w:tcPr>
            <w:tcW w:w="25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mündlich nur mit Aufzeichnung der Zutaten und Hinweis (§ 4 LMIDV)</w:t>
            </w:r>
          </w:p>
        </w:tc>
        <w:tc>
          <w:tcPr>
            <w:tcW w:w="25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schriftlich oder mündlich durch geschulte Person mit Hinweis (BGBl. II Nr. 175/2014)</w:t>
            </w:r>
          </w:p>
        </w:tc>
        <w:tc>
          <w:tcPr>
            <w:tcW w:w="2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Hinweis auf mündliche Auskunft; Angaben für das Personal oder fachkundige Person (Art. 5 LIV)</w:t>
            </w:r>
          </w:p>
        </w:tc>
      </w:tr>
      <w:tr>
        <w:trPr>
          <w:cantSplit/>
        </w:trPr>
        <w:tc>
          <w:tcPr>
            <w:tcW w:w="20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Arbeitsschutz</w:t>
            </w:r>
          </w:p>
        </w:tc>
        <w:tc>
          <w:tcPr>
            <w:tcW w:w="25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Berufsgenossenschaft und Arbeitsschutzbehörde; Gefährdungsbeurteilung dokumentiert (§ 6 ArbSchG)</w:t>
            </w:r>
          </w:p>
        </w:tc>
        <w:tc>
          <w:tcPr>
            <w:tcW w:w="25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Arbeitsinspektion; daneben AUVAsicher als Präventionsbetreuung</w:t>
            </w:r>
          </w:p>
        </w:tc>
        <w:tc>
          <w:tcPr>
            <w:tcW w:w="25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Arbeitsinspektion; EKAS-Richtlinie 6508</w:t>
            </w:r>
          </w:p>
        </w:tc>
      </w:tr>
      <w:tr>
        <w:trPr>
          <w:cantSplit/>
        </w:trPr>
        <w:tc>
          <w:tcPr>
            <w:tcW w:w="20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Brandschutz</w:t>
            </w:r>
          </w:p>
        </w:tc>
        <w:tc>
          <w:tcPr>
            <w:tcW w:w="25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Landesrecht; Bayern ab mehr als 30, Hamburg ab mehr als 12 Gastbetten</w:t>
            </w:r>
          </w:p>
        </w:tc>
        <w:tc>
          <w:tcPr>
            <w:tcW w:w="25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Landesbaurecht; Wien als Beispiel ab mehr als 10 Gästebetten</w:t>
            </w:r>
          </w:p>
        </w:tc>
        <w:tc>
          <w:tcPr>
            <w:tcW w:w="2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VKF-Brandschutznorm: Beherbergungsbetrieb ab 20 Personen</w:t>
            </w:r>
          </w:p>
        </w:tc>
      </w:tr>
      <w:tr>
        <w:trPr>
          <w:cantSplit/>
        </w:trPr>
        <w:tc>
          <w:tcPr>
            <w:tcW w:w="207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Gästemeldung</w:t>
            </w:r>
          </w:p>
        </w:tc>
        <w:tc>
          <w:tcPr>
            <w:tcW w:w="25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Meldescheine 1 Jahr, auf Verlangen vorlegen (§ 30 BMG)</w:t>
            </w:r>
          </w:p>
        </w:tc>
        <w:tc>
          <w:tcPr>
            <w:tcW w:w="25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Gästeverzeichnis, 7 Jahre aufbewahren</w:t>
            </w:r>
          </w:p>
        </w:tc>
        <w:tc>
          <w:tcPr>
            <w:tcW w:w="25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ausländischer Gäste an die kantonale Behörde (Art. 16 AIG)</w:t>
            </w:r>
          </w:p>
        </w:tc>
      </w:tr>
      <w:tr>
        <w:trPr>
          <w:cantSplit/>
        </w:trPr>
        <w:tc>
          <w:tcPr>
            <w:tcW w:w="20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Verbindliche Feststellung eines Rechtsverstoßes</w:t>
            </w:r>
          </w:p>
        </w:tc>
        <w:tc>
          <w:tcPr>
            <w:tcW w:w="25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Behörde oder Gericht</w:t>
            </w:r>
          </w:p>
        </w:tc>
        <w:tc>
          <w:tcPr>
            <w:tcW w:w="25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Behörde oder Gericht</w:t>
            </w:r>
          </w:p>
        </w:tc>
        <w:tc>
          <w:tcPr>
            <w:tcW w:w="25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Behörde oder Gericht</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4.2.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