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4.3</w:t>
      </w:r>
    </w:p>
    <w:p>
      <w:r>
        <w:rPr>
          <w:b/>
          <w:i w:val="0"/>
          <w:sz w:val="24"/>
        </w:rPr>
        <w:t>Welcher Nachweis für welches Haus: die Entscheidung</w:t>
      </w:r>
    </w:p>
    <w:p>
      <w:r>
        <w:rPr>
          <w:b w:val="0"/>
          <w:i/>
          <w:sz w:val="20"/>
        </w:rPr>
        <w:t>Die Entscheidung über einen Nachweis vorbereiten: wer ihn verlangt, was belegt werden kann, was er kostet und wie lange er gilt.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ein Kunde von Ihrem Haus einen Nachweis «von unabhängiger Stelle» verlangt: Wissen Sie, was er damit genau meint und wofür er ihn braucht? Und wonach entscheiden Sie, bevor Sie zwischen Urkunden wählen?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Fünf Kriterien für die Wahl eines Nachweises (Methode dieses Buches)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2"/>
        <w:gridCol w:w="3862"/>
        <w:gridCol w:w="3982"/>
      </w:tblGrid>
      <w:tr>
        <w:trPr>
          <w:tblHeader/>
        </w:trPr>
        <w:tc>
          <w:tcPr>
            <w:tcW w:w="179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Kriterium</w:t>
            </w:r>
          </w:p>
        </w:tc>
        <w:tc>
          <w:tcPr>
            <w:tcW w:w="38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398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Christine dafür braucht</w:t>
            </w:r>
          </w:p>
        </w:tc>
      </w:tr>
      <w:tr>
        <w:trPr>
          <w:cantSplit/>
        </w:trPr>
        <w:tc>
          <w:tcPr>
            <w:tcW w:w="17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Kunde</w:t>
            </w:r>
          </w:p>
        </w:tc>
        <w:tc>
          <w:tcPr>
            <w:tcW w:w="3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verlangt er, im Wortlaut und mit Termin?</w:t>
            </w:r>
          </w:p>
        </w:tc>
        <w:tc>
          <w:tcPr>
            <w:tcW w:w="39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schriftliche Antwort des Veranstalters</w:t>
            </w:r>
          </w:p>
        </w:tc>
      </w:tr>
      <w:tr>
        <w:trPr>
          <w:cantSplit/>
        </w:trPr>
        <w:tc>
          <w:tcPr>
            <w:tcW w:w="179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Prüfung</w:t>
            </w:r>
          </w:p>
        </w:tc>
        <w:tc>
          <w:tcPr>
            <w:tcW w:w="3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Was wird geprüft, von wem, wie unabhängig?</w:t>
            </w:r>
          </w:p>
        </w:tc>
        <w:tc>
          <w:tcPr>
            <w:tcW w:w="39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Richtlinie oder Regeln des Trägers, nicht den Prospekt</w:t>
            </w:r>
          </w:p>
        </w:tc>
      </w:tr>
      <w:tr>
        <w:trPr>
          <w:cantSplit/>
        </w:trPr>
        <w:tc>
          <w:tcPr>
            <w:tcW w:w="17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System</w:t>
            </w:r>
          </w:p>
        </w:tc>
        <w:tc>
          <w:tcPr>
            <w:tcW w:w="3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trägt das Haus schon, was entsteht neu?</w:t>
            </w:r>
          </w:p>
        </w:tc>
        <w:tc>
          <w:tcPr>
            <w:tcW w:w="39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Mappe, Monatsblätter, Berichte der Kreuzaudits</w:t>
            </w:r>
          </w:p>
        </w:tc>
      </w:tr>
      <w:tr>
        <w:trPr>
          <w:cantSplit/>
        </w:trPr>
        <w:tc>
          <w:tcPr>
            <w:tcW w:w="179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Aufwand</w:t>
            </w:r>
          </w:p>
        </w:tc>
        <w:tc>
          <w:tcPr>
            <w:tcW w:w="3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viele Stunden und Euro, über die ganze Laufzeit?</w:t>
            </w:r>
          </w:p>
        </w:tc>
        <w:tc>
          <w:tcPr>
            <w:tcW w:w="39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Gebührenordnung, Angebot, eigene Schätzung</w:t>
            </w:r>
          </w:p>
        </w:tc>
      </w:tr>
      <w:tr>
        <w:trPr>
          <w:cantSplit/>
        </w:trPr>
        <w:tc>
          <w:tcPr>
            <w:tcW w:w="17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Laufzeit</w:t>
            </w:r>
          </w:p>
        </w:tc>
        <w:tc>
          <w:tcPr>
            <w:tcW w:w="3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lange gilt es, was kommt danach?</w:t>
            </w:r>
          </w:p>
        </w:tc>
        <w:tc>
          <w:tcPr>
            <w:tcW w:w="39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Regeln zu Folgeprüfung, Überwachung, Erneuerung</w:t>
            </w:r>
          </w:p>
        </w:tc>
      </w:tr>
    </w:tbl>
    <w:p>
      <w:pPr>
        <w:keepNext/>
        <w:spacing w:before="260" w:after="120"/>
      </w:pPr>
      <w:r>
        <w:rPr>
          <w:b/>
          <w:bCs/>
          <w:color w:val="8C5A2B"/>
          <w:sz w:val="25"/>
          <w:szCs w:val="25"/>
        </w:rPr>
        <w:t xml:space="preserve">Praktische Anwendung: die Entscheidung über einen Nachweis in sieben Schritten vorbereiten</w:t>
      </w:r>
    </w:p>
    <w:p>
      <w:pPr>
        <w:spacing w:after="140" w:line="300" w:lineRule="auto"/>
        <w:jc w:val="both"/>
      </w:pPr>
      <w:r>
        <w:rPr>
          <w:b/>
          <w:bCs/>
          <w:color w:val="1A1A1A"/>
        </w:rPr>
        <w:t xml:space="preserve">1. Den Wortlaut klären, schriftlich.</w:t>
      </w:r>
      <w:r>
        <w:rPr>
          <w:color w:val="1A1A1A"/>
        </w:rPr>
        <w:t xml:space="preserve"> Fragen Sie den Kunden, welche Nachweise er anerkennt, ab wann, und ob ein staatliches Zeichen mit Prüfung vor Ort genügt.</w:t>
      </w:r>
    </w:p>
    <w:p>
      <w:pPr>
        <w:spacing w:after="140" w:line="300" w:lineRule="auto"/>
        <w:jc w:val="both"/>
      </w:pPr>
      <w:r>
        <w:rPr>
          <w:b/>
          <w:bCs/>
          <w:color w:val="1A1A1A"/>
        </w:rPr>
        <w:t xml:space="preserve">2. Den Termin rückwärts rechnen.</w:t>
      </w:r>
      <w:r>
        <w:rPr>
          <w:color w:val="1A1A1A"/>
        </w:rPr>
        <w:t xml:space="preserve"> Ab wann muss der Nachweis vorliegen, und wie lange dauert der Weg dorthin? Fragen Sie beim Träger oder der Stelle nach der üblichen Dauer bis zur Vergabe.</w:t>
      </w:r>
    </w:p>
    <w:p>
      <w:pPr>
        <w:spacing w:after="140" w:line="300" w:lineRule="auto"/>
        <w:jc w:val="both"/>
      </w:pPr>
      <w:r>
        <w:rPr>
          <w:b/>
          <w:bCs/>
          <w:color w:val="1A1A1A"/>
        </w:rPr>
        <w:t xml:space="preserve">3. Die Regeln lesen, nicht den Prospekt.</w:t>
      </w:r>
      <w:r>
        <w:rPr>
          <w:color w:val="1A1A1A"/>
        </w:rPr>
        <w:t xml:space="preserve"> Richtlinie, Katalog, Verordnung, Regeln der Stelle. Prüfen Sie, welches Modul und welche Erleichterung für Ihr Haus tatsächlich gilt.</w:t>
      </w:r>
    </w:p>
    <w:p>
      <w:pPr>
        <w:spacing w:after="140" w:line="300" w:lineRule="auto"/>
        <w:jc w:val="both"/>
      </w:pPr>
      <w:r>
        <w:rPr>
          <w:b/>
          <w:bCs/>
          <w:color w:val="1A1A1A"/>
        </w:rPr>
        <w:t xml:space="preserve">4. Jeden Weg gegen das eigene System halten.</w:t>
      </w:r>
      <w:r>
        <w:rPr>
          <w:color w:val="1A1A1A"/>
        </w:rPr>
        <w:t xml:space="preserve"> Was liegt schon in der Mappe: Monatsblätter, Pflichtenliste, Kreuzaudits, Managementbewertung? Was müsste neu entstehen? Schreiben Sie es je Weg in zwei Spalten.</w:t>
      </w:r>
    </w:p>
    <w:p>
      <w:pPr>
        <w:spacing w:after="140" w:line="300" w:lineRule="auto"/>
        <w:jc w:val="both"/>
      </w:pPr>
      <w:r>
        <w:rPr>
          <w:b/>
          <w:bCs/>
          <w:color w:val="1A1A1A"/>
        </w:rPr>
        <w:t xml:space="preserve">5. Stunden und Euro über die ganze Laufzeit rechnen.</w:t>
      </w:r>
      <w:r>
        <w:rPr>
          <w:color w:val="1A1A1A"/>
        </w:rPr>
        <w:t xml:space="preserve"> Gebühren nach dem Tarif des Trägers, Kosten nach Angebot, eigene Stunden mit einem </w:t>
      </w:r>
      <w:r>
        <w:rPr>
          <w:color w:val="1A1A1A"/>
        </w:rPr>
        <w:t xml:space="preserve">Stundenwert. Rechnen Sie bis zur ersten Erneuerung, nicht nur das erste Jahr.</w:t>
      </w:r>
    </w:p>
    <w:p>
      <w:pPr>
        <w:spacing w:after="140" w:line="300" w:lineRule="auto"/>
        <w:jc w:val="both"/>
      </w:pPr>
      <w:r>
        <w:rPr>
          <w:b/>
          <w:bCs/>
          <w:color w:val="1A1A1A"/>
        </w:rPr>
        <w:t xml:space="preserve">6. Dem Kunden antworten, bevor entschieden ist.</w:t>
      </w:r>
      <w:r>
        <w:rPr>
          <w:color w:val="1A1A1A"/>
        </w:rPr>
        <w:t xml:space="preserve"> Sagen Sie, dass das Haus die Forderung kennt, welchen Weg es prüft und bis wann es entscheidet. Ein Kunde, der den Stand kennt, wartet eher.</w:t>
      </w:r>
    </w:p>
    <w:p>
      <w:pPr>
        <w:spacing w:after="140" w:line="300" w:lineRule="auto"/>
        <w:jc w:val="both"/>
      </w:pPr>
      <w:r>
        <w:rPr>
          <w:b/>
          <w:bCs/>
          <w:color w:val="1A1A1A"/>
        </w:rPr>
        <w:t xml:space="preserve">7. Die Entscheidung in die Managementbewertung legen.</w:t>
      </w:r>
      <w:r>
        <w:rPr>
          <w:color w:val="1A1A1A"/>
        </w:rPr>
        <w:t xml:space="preserve"> Mit Termin, mit den fünf Kriterien und mit den geklärten Antworten. Wer entscheidet, ist die Leitung, nicht der Prospekt.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Kennen wir den genauen Wortlaut der Forderung unseres Kunden?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Wissen wir, ab wann der Nachweis vorliegen muss?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für jeden Weg die Regeln des Trägers oder der Stelle gelesen, nicht nur den Prospekt?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Wissen wir, welches Modul oder welche Erleichterung für unser Haus gilt?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je Weg aufgeschrieben, was unser System schon trägt?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die Stunden der Familie über die ganze Laufzeit gerechnet?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der Kunde eine Antwort zum Stand unserer Entscheidung?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die Entscheidung mit Termin auf dem Blatt der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Mit dem Weg beginnen.</w:t>
      </w:r>
      <w:r>
        <w:rPr>
          <w:color w:val="1A1A1A"/>
        </w:rPr>
        <w:t xml:space="preserve"> Wer zuerst das Zertifikat wählt, sucht danach Gründe dafür und keine Antworten.</w:t>
      </w:r>
    </w:p>
    <w:p>
      <w:pPr>
        <w:spacing w:after="140" w:line="300" w:lineRule="auto"/>
        <w:jc w:val="both"/>
      </w:pPr>
      <w:r>
        <w:rPr>
          <w:b/>
          <w:bCs/>
          <w:color w:val="1A1A1A"/>
        </w:rPr>
        <w:t xml:space="preserve">Den Kunden nicht fragen.</w:t>
      </w:r>
      <w:r>
        <w:rPr>
          <w:color w:val="1A1A1A"/>
        </w:rPr>
        <w:t xml:space="preserve"> Das Haus bereitet einen Nachweis vor, den der Kunde vielleicht gar nicht verlangt.</w:t>
      </w:r>
    </w:p>
    <w:p>
      <w:pPr>
        <w:spacing w:after="140" w:line="300" w:lineRule="auto"/>
        <w:jc w:val="both"/>
      </w:pPr>
      <w:r>
        <w:rPr>
          <w:b/>
          <w:bCs/>
          <w:color w:val="1A1A1A"/>
        </w:rPr>
        <w:t xml:space="preserve">Die vorhandene Urkunde für eine Antwort halten.</w:t>
      </w:r>
      <w:r>
        <w:rPr>
          <w:color w:val="1A1A1A"/>
        </w:rPr>
        <w:t xml:space="preserve"> Sterne prüfen Ausstattung und Dienstleistung, nicht das Umweltengagement.</w:t>
      </w:r>
    </w:p>
    <w:p>
      <w:pPr>
        <w:spacing w:after="140" w:line="300" w:lineRule="auto"/>
        <w:jc w:val="both"/>
      </w:pPr>
      <w:r>
        <w:rPr>
          <w:b/>
          <w:bCs/>
          <w:color w:val="1A1A1A"/>
        </w:rPr>
        <w:t xml:space="preserve">Den Prospekt statt der Richtlinie lesen.</w:t>
      </w:r>
      <w:r>
        <w:rPr>
          <w:color w:val="1A1A1A"/>
        </w:rPr>
        <w:t xml:space="preserve"> Die Erleichterung, die man findet, gilt dann oft für ein anderes Haus.</w:t>
      </w:r>
    </w:p>
    <w:p>
      <w:pPr>
        <w:spacing w:after="140" w:line="300" w:lineRule="auto"/>
        <w:jc w:val="both"/>
      </w:pPr>
      <w:r>
        <w:rPr>
          <w:b/>
          <w:bCs/>
          <w:color w:val="1A1A1A"/>
        </w:rPr>
        <w:t xml:space="preserve">Nur das erste Jahr rechnen.</w:t>
      </w:r>
      <w:r>
        <w:rPr>
          <w:color w:val="1A1A1A"/>
        </w:rPr>
        <w:t xml:space="preserve"> Folgeprüfungen, Überwachung und Erneuerung kosten Stunden über Jahre.</w:t>
      </w:r>
    </w:p>
    <w:p>
      <w:pPr>
        <w:spacing w:after="140" w:line="300" w:lineRule="auto"/>
        <w:jc w:val="both"/>
      </w:pPr>
      <w:r>
        <w:rPr>
          <w:b/>
          <w:bCs/>
          <w:color w:val="1A1A1A"/>
        </w:rPr>
        <w:t xml:space="preserve">Zwei Nachweise auf einmal beginnen.</w:t>
      </w:r>
      <w:r>
        <w:rPr>
          <w:color w:val="1A1A1A"/>
        </w:rPr>
        <w:t xml:space="preserve"> Das kleine Haus trägt zuerst einen und erwägt danach den zweiten.</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Stundenwert der Inhaberin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€ 45 je Stunde</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 für alle Zeilen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Umweltzeichen: Antrag mit Erstprüfung, 21 bis 100 Betten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€ 841</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Tarif des Trägers, jährlich angepasst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Umweltzeichen: Jahresgebühr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€ 323</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schließt die nächste Folgeprüfung ein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Umweltzeichen: Dossier und Vorbereitung, 40 Std.</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€ 1.800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erstes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EMAS: Umwelterklärung und Validierung vorbereiten, 80 Std.</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€ 3.600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ohne Honorar des Umweltgutachters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ISO 14001:2026: Vorbereitung 60 Std. und 3 Audittage zu € 1.200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€ 6.300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für die Audittage, kein Angebot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Umsatz mit den Gruppen des Veranstalters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€ 52.220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Umsatz, nicht Gewinn (Band 9a, 1.15)</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Im ersten Jahr kostet das Umweltzeichen in dieser Annahme € 2.641 an Gebühr und Stunden, die Jahresgebühr kommt danach dazu. EMAS braucht doppelt so viele Stunden und zusätzlich einen Umweltgutachter, die Zertifizierung nach diesem Modellsatz € 6.300 im ersten Jahr und Überwachungsaudits in jedem weiteren. Sie stehen neben einem Umsatz von gut € 52.000 im Sommer, der an der Antwort hängt. Sie sagen, wie viel jeder Weg kostet, nicht, welchen der Veranstalter anerkennt.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40"/>
        <w:gridCol w:w="3240"/>
        <w:gridCol w:w="3156"/>
      </w:tblGrid>
      <w:tr>
        <w:trPr>
          <w:tblHeader/>
        </w:trPr>
        <w:tc>
          <w:tcPr>
            <w:tcW w:w="3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15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Anforderungen interessierter Parteien bestimmen, über ihre Behandlung entscheiden (4.2)</w:t>
            </w:r>
          </w:p>
        </w:tc>
        <w:tc>
          <w:tcPr>
            <w:tcW w:w="3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Brief des Veranstalters, Rückfrage zum Wortlaut</w:t>
            </w:r>
          </w:p>
        </w:tc>
        <w:tc>
          <w:tcPr>
            <w:tcW w:w="31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fünf Kriterien</w:t>
            </w:r>
          </w:p>
        </w:tc>
      </w:tr>
      <w:tr>
        <w:trPr>
          <w:cantSplit/>
        </w:trPr>
        <w:tc>
          <w:tcPr>
            <w:tcW w:w="3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Anwendungsbereich festlegen (4.3)</w:t>
            </w:r>
          </w:p>
        </w:tc>
        <w:tc>
          <w:tcPr>
            <w:tcW w:w="3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Gasthof mit Gaststube, ohne Hof</w:t>
            </w:r>
          </w:p>
        </w:tc>
        <w:tc>
          <w:tcPr>
            <w:tcW w:w="31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mit dem Geltungsbereich des Nachweises abgleichen</w:t>
            </w:r>
          </w:p>
        </w:tc>
      </w:tr>
      <w:tr>
        <w:trPr>
          <w:cantSplit/>
        </w:trPr>
        <w:tc>
          <w:tcPr>
            <w:tcW w:w="3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Entscheidungen der obersten Leitung zum System (9.3)</w:t>
            </w:r>
          </w:p>
        </w:tc>
        <w:tc>
          <w:tcPr>
            <w:tcW w:w="3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Zeile «Nachweis nach außen» auf dem Blatt, Entscheidung im Frühjahr</w:t>
            </w:r>
          </w:p>
        </w:tc>
        <w:tc>
          <w:tcPr>
            <w:tcW w:w="31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Umweltzeichen: Muss-Kriterien und Soll-Punkte im passenden Modul (UZ 200)</w:t>
            </w:r>
          </w:p>
        </w:tc>
        <w:tc>
          <w:tcPr>
            <w:tcW w:w="3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Monatsblätter, Einkauf, Maßnahmen</w:t>
            </w:r>
          </w:p>
        </w:tc>
        <w:tc>
          <w:tcPr>
            <w:tcW w:w="31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Beratung freiwillig; Förderung über Landesprogramme</w:t>
            </w:r>
          </w:p>
        </w:tc>
      </w:tr>
      <w:tr>
        <w:trPr>
          <w:cantSplit/>
        </w:trPr>
        <w:tc>
          <w:tcPr>
            <w:tcW w:w="3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EMAS: Sektorreferenzdokument berücksichtigen (Beschluss 2016/611)</w:t>
            </w:r>
          </w:p>
        </w:tc>
        <w:tc>
          <w:tcPr>
            <w:tcW w:w="3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Indikatoren in der Umwelterklärung</w:t>
            </w:r>
          </w:p>
        </w:tc>
        <w:tc>
          <w:tcPr>
            <w:tcW w:w="315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EMAS Easy nach dem Benutzerhandbuch</w:t>
            </w:r>
          </w:p>
        </w:tc>
      </w:tr>
      <w:tr>
        <w:trPr>
          <w:cantSplit/>
        </w:trPr>
        <w:tc>
          <w:tcPr>
            <w:tcW w:w="3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Stelle: Erstaudit in zwei Stufen (ISO/IEC 17021-1, 9.3.1)</w:t>
            </w:r>
          </w:p>
        </w:tc>
        <w:tc>
          <w:tcPr>
            <w:tcW w:w="3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internes Audit und Managementbewertung gelaufen</w:t>
            </w:r>
          </w:p>
        </w:tc>
        <w:tc>
          <w:tcPr>
            <w:tcW w:w="315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der ISO: System einige Monate laufen lassen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Wege zu einem Nachweis von außen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5"/>
        <w:gridCol w:w="2594"/>
        <w:gridCol w:w="2489"/>
        <w:gridCol w:w="2597"/>
      </w:tblGrid>
      <w:tr>
        <w:trPr>
          <w:tblHeader/>
        </w:trPr>
        <w:tc>
          <w:tcPr>
            <w:tcW w:w="19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48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Klassifizierung mit Punkten für ein Label</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Hotelstars, Katalog 2025–2030: Nr. 238, 20 Punkte</w:t>
            </w:r>
          </w:p>
        </w:tc>
        <w:tc>
          <w:tcPr>
            <w:tcW w:w="24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Wirtschaftskammern, Katalog 2025–2030: Nr. 238, 20 Punkte</w:t>
            </w:r>
          </w:p>
        </w:tc>
        <w:tc>
          <w:tcPr>
            <w:tcW w:w="25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HotellerieSuisse, Guesthouse Nr. 41: anerkanntes Label erfüllt das Kriterium</w:t>
            </w:r>
          </w:p>
        </w:tc>
      </w:tr>
      <w:tr>
        <w:trPr>
          <w:cantSplit/>
        </w:trPr>
        <w:tc>
          <w:tcPr>
            <w:tcW w:w="19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Staatliches oder EU-Zeichen</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EU-Umweltzeichen, zuständig RAL</w:t>
            </w:r>
          </w:p>
        </w:tc>
        <w:tc>
          <w:tcPr>
            <w:tcW w:w="24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Österreichisches Umweltzeichen UZ 200; EU-Umweltzeichen</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9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Programm</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t>
            </w:r>
          </w:p>
        </w:tc>
        <w:tc>
          <w:tcPr>
            <w:tcW w:w="24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t>
            </w:r>
          </w:p>
        </w:tc>
        <w:tc>
          <w:tcPr>
            <w:tcW w:w="25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Swisstainable, Level I bis III, nach eigener Aussage kein Zertifizierungssystem</w:t>
            </w:r>
          </w:p>
        </w:tc>
      </w:tr>
      <w:tr>
        <w:trPr>
          <w:cantSplit/>
        </w:trPr>
        <w:tc>
          <w:tcPr>
            <w:tcW w:w="19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EMAS</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Verordnung (EG) Nr. 1221/2009; Bayern fördert Projektgruppen von 5 bis 15</w:t>
            </w:r>
          </w:p>
        </w:tc>
        <w:tc>
          <w:tcPr>
            <w:tcW w:w="24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Verordnung (EG) Nr. 1221/2009</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19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Zertifizierung, Akkreditierung</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DAkkS</w:t>
            </w:r>
          </w:p>
        </w:tc>
        <w:tc>
          <w:tcPr>
            <w:tcW w:w="24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Akkreditierung Austria</w:t>
            </w:r>
          </w:p>
        </w:tc>
        <w:tc>
          <w:tcPr>
            <w:tcW w:w="25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SAS</w:t>
            </w:r>
          </w:p>
        </w:tc>
      </w:tr>
      <w:tr>
        <w:trPr>
          <w:cantSplit/>
        </w:trPr>
        <w:tc>
          <w:tcPr>
            <w:tcW w:w="19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Beratungsförderung</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BAFA, Richtlinie bis 31. Dezember 2026</w:t>
            </w:r>
          </w:p>
        </w:tc>
        <w:tc>
          <w:tcPr>
            <w:tcW w:w="24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Landesprogramme wie ecotirol; KMU.DIGITAL bis € 3.000</w:t>
            </w:r>
          </w:p>
        </w:tc>
        <w:tc>
          <w:tcPr>
            <w:tcW w:w="25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PEIK: 50 Prozent, höchstens CHF 2.500</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4.3.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