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4.4</w:t>
      </w:r>
    </w:p>
    <w:p>
      <w:r>
        <w:rPr>
          <w:b/>
          <w:i w:val="0"/>
          <w:sz w:val="24"/>
        </w:rPr>
        <w:t>Die Klassifizierung als Prüfung: das Guesthouse-Audit</w:t>
      </w:r>
    </w:p>
    <w:p>
      <w:r>
        <w:rPr>
          <w:b w:val="0"/>
          <w:i/>
          <w:sz w:val="20"/>
        </w:rPr>
        <w:t>Ein Klassifizierungsaudit vorbereiten: Test-Klassifikation, Lücken schließen und das eigene System als Nachweis.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morgen eine Auditorin vor Ihrer Tür steht und die Nummer anruft, die dort für die Nacht angeschrieben ist: Wer nimmt ab? Und woher wissen Sie das, ohne es je ausprobiert zu haben?</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Drei Lücken und was ein eigenes System dazu beiträgt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6"/>
        <w:gridCol w:w="3504"/>
        <w:gridCol w:w="4057"/>
      </w:tblGrid>
      <w:tr>
        <w:trPr>
          <w:tblHeader/>
        </w:trPr>
        <w:tc>
          <w:tcPr>
            <w:tcW w:w="207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Kriterium</w:t>
            </w:r>
          </w:p>
        </w:tc>
        <w:tc>
          <w:tcPr>
            <w:tcW w:w="350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Lücke in der Test-Klassifikation</w:t>
            </w:r>
          </w:p>
        </w:tc>
        <w:tc>
          <w:tcPr>
            <w:tcW w:w="405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das System dazu beiträgt</w:t>
            </w:r>
          </w:p>
        </w:tc>
      </w:tr>
      <w:tr>
        <w:trPr>
          <w:cantSplit/>
        </w:trPr>
        <w:tc>
          <w:tcPr>
            <w:tcW w:w="207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Nr. 31 Erreichbarkeit</w:t>
            </w:r>
          </w:p>
        </w:tc>
        <w:tc>
          <w:tcPr>
            <w:tcW w:w="350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Nummer an der Tür endet nachts am Anrufbeantworter</w:t>
            </w:r>
          </w:p>
        </w:tc>
        <w:tc>
          <w:tcPr>
            <w:tcW w:w="405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Notfallzettel und Telefon am Nachttisch; monatlicher Probeanruf (2.12)</w:t>
            </w:r>
          </w:p>
        </w:tc>
      </w:tr>
      <w:tr>
        <w:trPr>
          <w:cantSplit/>
        </w:trPr>
        <w:tc>
          <w:tcPr>
            <w:tcW w:w="207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Nr. 39 Serviceleitfaden</w:t>
            </w:r>
          </w:p>
        </w:tc>
        <w:tc>
          <w:tcPr>
            <w:tcW w:w="35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Information an drei Orten, teils veraltet</w:t>
            </w:r>
          </w:p>
        </w:tc>
        <w:tc>
          <w:tcPr>
            <w:tcW w:w="405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 Leitfaden als gelenktes Dokument mit Datum (2.8)</w:t>
            </w:r>
          </w:p>
        </w:tc>
      </w:tr>
      <w:tr>
        <w:trPr>
          <w:cantSplit/>
        </w:trPr>
        <w:tc>
          <w:tcPr>
            <w:tcW w:w="207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Nr. 41 Ressourcenverbrauch</w:t>
            </w:r>
          </w:p>
        </w:tc>
        <w:tc>
          <w:tcPr>
            <w:tcW w:w="350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nur Rechnungen, keine Jahreszahl</w:t>
            </w:r>
          </w:p>
        </w:tc>
        <w:tc>
          <w:tcPr>
            <w:tcW w:w="405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Monatsblatt mit Zählerständen; Jahreswert ins Erfassungswerkzeug (2.13)</w:t>
            </w:r>
          </w:p>
        </w:tc>
      </w:tr>
      <w:tr>
        <w:trPr>
          <w:cantSplit/>
        </w:trPr>
        <w:tc>
          <w:tcPr>
            <w:tcW w:w="207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alle Kriterien</w:t>
            </w:r>
          </w:p>
        </w:tc>
        <w:tc>
          <w:tcPr>
            <w:tcW w:w="35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Häkchen aus dem Gedächtnis</w:t>
            </w:r>
          </w:p>
        </w:tc>
        <w:tc>
          <w:tcPr>
            <w:tcW w:w="405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Probe statt Häkchen; zweite Person prüft mit</w:t>
            </w:r>
          </w:p>
        </w:tc>
      </w:tr>
    </w:tbl>
    <w:p>
      <w:pPr>
        <w:keepNext/>
        <w:spacing w:before="260" w:after="120"/>
      </w:pPr>
      <w:r>
        <w:rPr>
          <w:b/>
          <w:bCs/>
          <w:color w:val="8C5A2B"/>
          <w:sz w:val="25"/>
          <w:szCs w:val="25"/>
        </w:rPr>
        <w:t xml:space="preserve">Praktische Anwendung: ein Klassifizierungsaudit in sieben Schritten vorbereiten</w:t>
      </w:r>
    </w:p>
    <w:p>
      <w:pPr>
        <w:spacing w:after="140" w:line="300" w:lineRule="auto"/>
        <w:jc w:val="both"/>
      </w:pPr>
      <w:r>
        <w:rPr>
          <w:b/>
          <w:bCs/>
          <w:color w:val="1A1A1A"/>
        </w:rPr>
        <w:t xml:space="preserve">1. Die Test-Klassifikation zu zweit ausfüllen.</w:t>
      </w:r>
      <w:r>
        <w:rPr>
          <w:color w:val="1A1A1A"/>
        </w:rPr>
        <w:t xml:space="preserve"> Setzen Sie sich mit einer Mitarbeiterin oder einem Familienmitglied hin, das die Abläufe aus einer anderen Ecke kennt. Wer fragt «woran sieht man das?», findet mehr als wer ankreuzt.</w:t>
      </w:r>
    </w:p>
    <w:p>
      <w:pPr>
        <w:spacing w:after="140" w:line="300" w:lineRule="auto"/>
        <w:jc w:val="both"/>
      </w:pPr>
      <w:r>
        <w:rPr>
          <w:b/>
          <w:bCs/>
          <w:color w:val="1A1A1A"/>
        </w:rPr>
        <w:t xml:space="preserve">2. Jedes Häkchen mit einer Probe belegen.</w:t>
      </w:r>
      <w:r>
        <w:rPr>
          <w:color w:val="1A1A1A"/>
        </w:rPr>
        <w:t xml:space="preserve"> Rufen Sie die Nummer an der Tür nachts an, geben Sie den Türcode ein, lesen Sie Ihre Website in der zweiten Sprache. Eine Stunde Proben ersetzt manche Überraschung am Audittag.</w:t>
      </w:r>
    </w:p>
    <w:p>
      <w:pPr>
        <w:spacing w:after="140" w:line="300" w:lineRule="auto"/>
        <w:jc w:val="both"/>
      </w:pPr>
      <w:r>
        <w:rPr>
          <w:b/>
          <w:bCs/>
          <w:color w:val="1A1A1A"/>
        </w:rPr>
        <w:t xml:space="preserve">3. Jede Lücke mit Termin und Namen festhalten.</w:t>
      </w:r>
      <w:r>
        <w:rPr>
          <w:color w:val="1A1A1A"/>
        </w:rPr>
        <w:t xml:space="preserve"> Lücken kommen auf die Liste der Massnahmen des Hauses, mit wer und bis wann. So sind sie am Audittag geschlossen und nicht nur bekannt.</w:t>
      </w:r>
    </w:p>
    <w:p>
      <w:pPr>
        <w:spacing w:after="140" w:line="300" w:lineRule="auto"/>
        <w:jc w:val="both"/>
      </w:pPr>
      <w:r>
        <w:rPr>
          <w:b/>
          <w:bCs/>
          <w:color w:val="1A1A1A"/>
        </w:rPr>
        <w:t xml:space="preserve">4. Die Messung ins Jahr legen.</w:t>
      </w:r>
      <w:r>
        <w:rPr>
          <w:color w:val="1A1A1A"/>
        </w:rPr>
        <w:t xml:space="preserve"> Legen Sie fest, wer wann </w:t>
      </w:r>
      <w:r>
        <w:rPr>
          <w:color w:val="1A1A1A"/>
        </w:rPr>
        <w:t xml:space="preserve">Strom, Gas oder Heizöl und Wasser abliest und wann der Jahreswert ins Erfassungswerkzeug kommt. Die Nebenkostenabrechnung allein liefert die Zahl zu spät.</w:t>
      </w:r>
    </w:p>
    <w:p>
      <w:pPr>
        <w:spacing w:after="140" w:line="300" w:lineRule="auto"/>
        <w:jc w:val="both"/>
      </w:pPr>
      <w:r>
        <w:rPr>
          <w:b/>
          <w:bCs/>
          <w:color w:val="1A1A1A"/>
        </w:rPr>
        <w:t xml:space="preserve">5. Abgleichen, was der Gast liest.</w:t>
      </w:r>
      <w:r>
        <w:rPr>
          <w:color w:val="1A1A1A"/>
        </w:rPr>
        <w:t xml:space="preserve"> Leitfaden, Website, Buchungsbestätigung und Schild an der Tür müssen dieselben Zeiten und Nummern nennen. Geben Sie dem Leitfaden ein Datum.</w:t>
      </w:r>
    </w:p>
    <w:p>
      <w:pPr>
        <w:spacing w:after="140" w:line="300" w:lineRule="auto"/>
        <w:jc w:val="both"/>
      </w:pPr>
      <w:r>
        <w:rPr>
          <w:b/>
          <w:bCs/>
          <w:color w:val="1A1A1A"/>
        </w:rPr>
        <w:t xml:space="preserve">6. Den Audittag im Betrieb planen.</w:t>
      </w:r>
      <w:r>
        <w:rPr>
          <w:color w:val="1A1A1A"/>
        </w:rPr>
        <w:t xml:space="preserve"> Planen Sie das Audit an einem Tag mit Gästen, legen Sie Muster ohne Namen bereit und klären Sie vorher, was die Auditorin sehen will. Gästedaten öffnen Sie nur, wenn es für eine Frage nötig ist.</w:t>
      </w:r>
    </w:p>
    <w:p>
      <w:pPr>
        <w:spacing w:after="140" w:line="300" w:lineRule="auto"/>
        <w:jc w:val="both"/>
      </w:pPr>
      <w:r>
        <w:rPr>
          <w:b/>
          <w:bCs/>
          <w:color w:val="1A1A1A"/>
        </w:rPr>
        <w:t xml:space="preserve">7. Die drei Jahre in die Managementbewertung schreiben.</w:t>
      </w:r>
      <w:r>
        <w:rPr>
          <w:color w:val="1A1A1A"/>
        </w:rPr>
        <w:t xml:space="preserve"> Notieren Sie das Ablaufdatum und prüfen Sie einmal im Jahr die Kriterien, die sich im Alltag verschieben: Nummern, Zeiten, Messung.</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Sie die Test-Klassifikation mit einer zweiten Person ausgefüllt?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Haben Sie die Nummer an Ihrer Tür in der Nacht selbst angerufen?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Erreicht ein Gast in der Nacht eine Person und nicht nur einen Anrufbeantworter?</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Gibt es einen Serviceleitfaden mit Datum, der mit Website und Bestätigung übereinstimmt?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Ist festgelegt, wer den Verbrauch abliest und wann der Jahreswert erfasst wird?</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Hat jede Lücke aus der Selbsteinschätzung einen Namen und einen Termin?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Können Sie der Auditorin Muster ohne Gästenamen zeigen?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Steht das Ablaufdatum der Klassifikation in Ihrer Managementbewertung?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Aus dem Gedächtnis ankreuzen.</w:t>
      </w:r>
      <w:r>
        <w:rPr>
          <w:color w:val="1A1A1A"/>
        </w:rPr>
        <w:t xml:space="preserve"> Das Häkchen stimmt, bis der erste Gast anruft.</w:t>
      </w:r>
    </w:p>
    <w:p>
      <w:pPr>
        <w:spacing w:after="140" w:line="300" w:lineRule="auto"/>
        <w:jc w:val="both"/>
      </w:pPr>
      <w:r>
        <w:rPr>
          <w:b/>
          <w:bCs/>
          <w:color w:val="1A1A1A"/>
        </w:rPr>
        <w:t xml:space="preserve">Mit Punkten rechnen, wo alle Kriterien gelten.</w:t>
      </w:r>
      <w:r>
        <w:rPr>
          <w:color w:val="1A1A1A"/>
        </w:rPr>
        <w:t xml:space="preserve"> Im Guesthouse-Katalog gleicht kein Kriterium ein anderes aus.</w:t>
      </w:r>
    </w:p>
    <w:p>
      <w:pPr>
        <w:spacing w:after="140" w:line="300" w:lineRule="auto"/>
        <w:jc w:val="both"/>
      </w:pPr>
      <w:r>
        <w:rPr>
          <w:b/>
          <w:bCs/>
          <w:color w:val="1A1A1A"/>
        </w:rPr>
        <w:t xml:space="preserve">Einen Leitfaden nur für das Audit drucken.</w:t>
      </w:r>
      <w:r>
        <w:rPr>
          <w:color w:val="1A1A1A"/>
        </w:rPr>
        <w:t xml:space="preserve"> Gäste lesen ihn drei Jahre lang, die Auditorin einmal.</w:t>
      </w:r>
    </w:p>
    <w:p>
      <w:pPr>
        <w:spacing w:after="140" w:line="300" w:lineRule="auto"/>
        <w:jc w:val="both"/>
      </w:pPr>
      <w:r>
        <w:rPr>
          <w:b/>
          <w:bCs/>
          <w:color w:val="1A1A1A"/>
        </w:rPr>
        <w:t xml:space="preserve">Für die Messung ein Zertifikat kaufen wollen.</w:t>
      </w:r>
      <w:r>
        <w:rPr>
          <w:color w:val="1A1A1A"/>
        </w:rPr>
        <w:t xml:space="preserve"> Das Erfassungswerkzeug des Verbands erfüllt das Kriterium ebenfalls.</w:t>
      </w:r>
    </w:p>
    <w:p>
      <w:pPr>
        <w:spacing w:after="140" w:line="300" w:lineRule="auto"/>
        <w:jc w:val="both"/>
      </w:pPr>
      <w:r>
        <w:rPr>
          <w:b/>
          <w:bCs/>
          <w:color w:val="1A1A1A"/>
        </w:rPr>
        <w:t xml:space="preserve">Die Klassifikation als Zertifikat bewerben.</w:t>
      </w:r>
      <w:r>
        <w:rPr>
          <w:color w:val="1A1A1A"/>
        </w:rPr>
        <w:t xml:space="preserve"> Sie ist eine Einstufung nach einem Katalog, keine Bestätigung eines Systems.</w:t>
      </w:r>
    </w:p>
    <w:p>
      <w:pPr>
        <w:spacing w:after="140" w:line="300" w:lineRule="auto"/>
        <w:jc w:val="both"/>
      </w:pPr>
      <w:r>
        <w:rPr>
          <w:b/>
          <w:bCs/>
          <w:color w:val="1A1A1A"/>
        </w:rPr>
        <w:t xml:space="preserve">Nach dem Audit nichts mehr prüfen.</w:t>
      </w:r>
      <w:r>
        <w:rPr>
          <w:color w:val="1A1A1A"/>
        </w:rPr>
        <w:t xml:space="preserve"> Bis zum nächsten Audit vor Ort fällt eine verschobene Nummer nur dem Gast auf.</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Test-Klassifikation zu zweit: 2 Std. × (CHF 70 + CHF 40)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220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 Gastgeberin und Mitarbeiterin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Proben und Liste der Lücken: 3 Std. × CHF 70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210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Serviceleitfaden schreiben und übersetzen: 6 Std. × CHF 70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420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 danach 1 Std. im Jahr</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Umleitung einrichten, Schild und Bestätigung anpassen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180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 Schild und 1 Std.</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Messung: 12 Ablesungen und Jahreswert, 4 Std. × CHF 70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280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je Jahr</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Audittag begleiten: 3 Std. × CHF 70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210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alle drei Jahre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Gebühren des Verbands</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nicht eingerechnet</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nach dem Tarif von HotellerieSuisse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Die Rechnung kommt im ersten Jahr auf CHF 1.520 an Stunden und kleinen Ausgaben, danach auf rund CHF 350 im Jahr für Messung und Leitfaden, und alle drei Jahre kommt der Audittag dazu. Der grösste Posten ist die Arbeit an Abläufen, die das Haus auch ohne Klassifikation brauchen würde. Den Anruf, der um zwei Uhr nachts auf einem Anrufbeantworter endet, beziffert die Rechnung nicht.</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9"/>
        <w:gridCol w:w="3269"/>
        <w:gridCol w:w="3098"/>
      </w:tblGrid>
      <w:tr>
        <w:trPr>
          <w:tblHeader/>
        </w:trPr>
        <w:tc>
          <w:tcPr>
            <w:tcW w:w="32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2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09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2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Nr. 31: rund um die Uhr erreichbar, digital oder per Telefon</w:t>
            </w:r>
          </w:p>
        </w:tc>
        <w:tc>
          <w:tcPr>
            <w:tcW w:w="32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Umleitung ab 22 Uhr auf das Mobiltelefon; Nummer am Eingang und im Leitfaden</w:t>
            </w:r>
          </w:p>
        </w:tc>
        <w:tc>
          <w:tcPr>
            <w:tcW w:w="309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einmal im Monat nachts Probeanruf</w:t>
            </w:r>
          </w:p>
        </w:tc>
      </w:tr>
      <w:tr>
        <w:trPr>
          <w:cantSplit/>
        </w:trPr>
        <w:tc>
          <w:tcPr>
            <w:tcW w:w="32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Nr. 32: acht Stunden physisch verfügbar oder Self-Check-in und -out</w:t>
            </w:r>
          </w:p>
        </w:tc>
        <w:tc>
          <w:tcPr>
            <w:tcW w:w="32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Präsenzzeiten auf Website und Bestätigung</w:t>
            </w:r>
          </w:p>
        </w:tc>
        <w:tc>
          <w:tcPr>
            <w:tcW w:w="309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Vertretung für freie Tage mit Namen</w:t>
            </w:r>
          </w:p>
        </w:tc>
      </w:tr>
      <w:tr>
        <w:trPr>
          <w:cantSplit/>
        </w:trPr>
        <w:tc>
          <w:tcPr>
            <w:tcW w:w="32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Nr. 39: Serviceleitfaden</w:t>
            </w:r>
          </w:p>
        </w:tc>
        <w:tc>
          <w:tcPr>
            <w:tcW w:w="32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zwei Seiten im Zimmer und als PDF, mit Datum</w:t>
            </w:r>
          </w:p>
        </w:tc>
        <w:tc>
          <w:tcPr>
            <w:tcW w:w="309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jährlich mit Website und Bestätigung abgleichen</w:t>
            </w:r>
          </w:p>
        </w:tc>
      </w:tr>
      <w:tr>
        <w:trPr>
          <w:cantSplit/>
        </w:trPr>
        <w:tc>
          <w:tcPr>
            <w:tcW w:w="32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Nr. 41: Ressourcenverbrauch jährlich messen</w:t>
            </w:r>
          </w:p>
        </w:tc>
        <w:tc>
          <w:tcPr>
            <w:tcW w:w="32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Jahreswerte im Erfassungswerkzeug</w:t>
            </w:r>
          </w:p>
        </w:tc>
        <w:tc>
          <w:tcPr>
            <w:tcW w:w="309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Band 9a (2.13): monatlich ablesen</w:t>
            </w:r>
          </w:p>
        </w:tc>
      </w:tr>
      <w:tr>
        <w:trPr>
          <w:cantSplit/>
        </w:trPr>
        <w:tc>
          <w:tcPr>
            <w:tcW w:w="32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Alle Kriterien erfüllt</w:t>
            </w:r>
          </w:p>
        </w:tc>
        <w:tc>
          <w:tcPr>
            <w:tcW w:w="32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eine Liste mit einem Beleg je Kriterium</w:t>
            </w:r>
          </w:p>
        </w:tc>
        <w:tc>
          <w:tcPr>
            <w:tcW w:w="309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Test-Klassifikation als Selbsteinschätzung</w:t>
            </w:r>
          </w:p>
        </w:tc>
      </w:tr>
      <w:tr>
        <w:trPr>
          <w:cantSplit/>
        </w:trPr>
        <w:tc>
          <w:tcPr>
            <w:tcW w:w="32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Überwachen, messen, bewerten (HS 9.1, 9.3)</w:t>
            </w:r>
          </w:p>
        </w:tc>
        <w:tc>
          <w:tcPr>
            <w:tcW w:w="32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Jahresblatt in der Managementbewertung</w:t>
            </w:r>
          </w:p>
        </w:tc>
        <w:tc>
          <w:tcPr>
            <w:tcW w:w="309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Katalog als Prüfliste im Auditprogramm</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Klassifizierung kleiner Häuser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62"/>
        <w:gridCol w:w="2590"/>
        <w:gridCol w:w="2590"/>
        <w:gridCol w:w="2594"/>
      </w:tblGrid>
      <w:tr>
        <w:trPr>
          <w:tblHeader/>
        </w:trPr>
        <w:tc>
          <w:tcPr>
            <w:tcW w:w="18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9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9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9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8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Wer klassiert</w:t>
            </w:r>
          </w:p>
        </w:tc>
        <w:tc>
          <w:tcPr>
            <w:tcW w:w="25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Deutsche Hotelklassifizierung im DEHOGA, Hotelstars Union</w:t>
            </w:r>
          </w:p>
        </w:tc>
        <w:tc>
          <w:tcPr>
            <w:tcW w:w="25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Fachgruppen Hotellerie der Wirtschaftskammern</w:t>
            </w:r>
          </w:p>
        </w:tc>
        <w:tc>
          <w:tcPr>
            <w:tcW w:w="25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HotellerieSuisse; GastroSuisse mit eigener Hotelklassifikation</w:t>
            </w:r>
          </w:p>
        </w:tc>
      </w:tr>
      <w:tr>
        <w:trPr>
          <w:cantSplit/>
        </w:trPr>
        <w:tc>
          <w:tcPr>
            <w:tcW w:w="18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Kategorie für kleine Häuser</w:t>
            </w:r>
          </w:p>
        </w:tc>
        <w:tc>
          <w:tcPr>
            <w:tcW w:w="25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Hotel garni bis vier Sterne; frühere G-Klassifizierung läuft aus</w:t>
            </w:r>
          </w:p>
        </w:tc>
        <w:tc>
          <w:tcPr>
            <w:tcW w:w="25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Garni und Frühstückspensionen höchstens vier Sterne, niedrigere Punktegrenzen</w:t>
            </w:r>
          </w:p>
        </w:tc>
        <w:tc>
          <w:tcPr>
            <w:tcW w:w="25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Guesthouse ohne Sterne, alle Kriterien gelten</w:t>
            </w:r>
          </w:p>
        </w:tc>
      </w:tr>
      <w:tr>
        <w:trPr>
          <w:cantSplit/>
        </w:trPr>
        <w:tc>
          <w:tcPr>
            <w:tcW w:w="18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Prüfung</w:t>
            </w:r>
          </w:p>
        </w:tc>
        <w:tc>
          <w:tcPr>
            <w:tcW w:w="25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nach dem Katalog 2025–2030</w:t>
            </w:r>
          </w:p>
        </w:tc>
        <w:tc>
          <w:tcPr>
            <w:tcW w:w="25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Kommission vor Ort, mindestens zwei Mitglieder</w:t>
            </w:r>
          </w:p>
        </w:tc>
        <w:tc>
          <w:tcPr>
            <w:tcW w:w="25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Auditoren von HotellerieSuisse vor Ort; bei GastroSuisse zwei Experten, etwa eine Stunde</w:t>
            </w:r>
          </w:p>
        </w:tc>
      </w:tr>
      <w:tr>
        <w:trPr>
          <w:cantSplit/>
        </w:trPr>
        <w:tc>
          <w:tcPr>
            <w:tcW w:w="18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Gültigkeit</w:t>
            </w:r>
          </w:p>
        </w:tc>
        <w:tc>
          <w:tcPr>
            <w:tcW w:w="25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nach den Regeln des Trägers</w:t>
            </w:r>
          </w:p>
        </w:tc>
        <w:tc>
          <w:tcPr>
            <w:tcW w:w="25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drei bis höchstens sechs Jahre</w:t>
            </w:r>
          </w:p>
        </w:tc>
        <w:tc>
          <w:tcPr>
            <w:tcW w:w="25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Guesthouse drei Jahre; GastroSuisse drei Jahre</w:t>
            </w:r>
          </w:p>
        </w:tc>
      </w:tr>
      <w:tr>
        <w:trPr>
          <w:cantSplit/>
        </w:trPr>
        <w:tc>
          <w:tcPr>
            <w:tcW w:w="186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Kosten</w:t>
            </w:r>
          </w:p>
        </w:tc>
        <w:tc>
          <w:tcPr>
            <w:tcW w:w="25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nach dem Tarif des Trägers</w:t>
            </w:r>
          </w:p>
        </w:tc>
        <w:tc>
          <w:tcPr>
            <w:tcW w:w="25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Hotels von einem bis vier Sternen kostenfrei</w:t>
            </w:r>
          </w:p>
        </w:tc>
        <w:tc>
          <w:tcPr>
            <w:tcW w:w="259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Guesthouse nach dem Tarif des Verbands; GastroSuisse mit veröffentlichten Gebühren</w:t>
            </w:r>
          </w:p>
        </w:tc>
      </w:tr>
      <w:tr>
        <w:trPr>
          <w:cantSplit/>
        </w:trPr>
        <w:tc>
          <w:tcPr>
            <w:tcW w:w="18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Daten beim Audit</w:t>
            </w:r>
          </w:p>
        </w:tc>
        <w:tc>
          <w:tcPr>
            <w:tcW w:w="25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DSGVO</w:t>
            </w:r>
          </w:p>
        </w:tc>
        <w:tc>
          <w:tcPr>
            <w:tcW w:w="25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DSGVO</w:t>
            </w:r>
          </w:p>
        </w:tc>
        <w:tc>
          <w:tcPr>
            <w:tcW w:w="259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Datenschutzgesetz</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4.4.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4.4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