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4.5</w:t>
      </w:r>
    </w:p>
    <w:p>
      <w:r>
        <w:rPr>
          <w:b/>
          <w:i w:val="0"/>
          <w:sz w:val="24"/>
        </w:rPr>
        <w:t>Sterne mit Systempunkten: Beschwerden, Bewertungen und Qualitätsmanagement</w:t>
      </w:r>
    </w:p>
    <w:p>
      <w:r>
        <w:rPr>
          <w:b w:val="0"/>
          <w:i/>
          <w:sz w:val="20"/>
        </w:rPr>
        <w:t>Die Systempunkte der Sterne ehrlich nachweisen: Beschwerden, Bewertungen und was als vergleichbares System gelten kann.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der Sternekatalog Ihnen Punkte für den Umgang mit Beschwerden, für die Auswertung von Bewertungen und für ein Qualitätsmanagement anbietet: Welche davon können Sie heute belegen? Und wer entscheidet, ob Ihr Monatsblatt ein System ist?</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Elementprobe: das Monatsblatt neben dem gemeinsamen Kern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61"/>
        <w:gridCol w:w="2309"/>
        <w:gridCol w:w="3566"/>
      </w:tblGrid>
      <w:tr>
        <w:trPr>
          <w:tblHeader/>
        </w:trPr>
        <w:tc>
          <w:tcPr>
            <w:tcW w:w="376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Element des gemeinsamen Kerns</w:t>
            </w:r>
          </w:p>
        </w:tc>
        <w:tc>
          <w:tcPr>
            <w:tcW w:w="23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Trägt das Monatsblatt es?</w:t>
            </w:r>
          </w:p>
        </w:tc>
        <w:tc>
          <w:tcPr>
            <w:tcW w:w="356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fehlt</w:t>
            </w:r>
          </w:p>
        </w:tc>
      </w:tr>
      <w:tr>
        <w:trPr>
          <w:cantSplit/>
        </w:trPr>
        <w:tc>
          <w:tcPr>
            <w:tcW w:w="376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Kontext und Anwendungsbereich (4.1, 4.3)</w:t>
            </w:r>
          </w:p>
        </w:tc>
        <w:tc>
          <w:tcPr>
            <w:tcW w:w="23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nein</w:t>
            </w:r>
          </w:p>
        </w:tc>
        <w:tc>
          <w:tcPr>
            <w:tcW w:w="356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eine Seite: welches Haus, welche Leistungen</w:t>
            </w:r>
          </w:p>
        </w:tc>
      </w:tr>
      <w:tr>
        <w:trPr>
          <w:cantSplit/>
        </w:trPr>
        <w:tc>
          <w:tcPr>
            <w:tcW w:w="37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Politik (5.2)</w:t>
            </w:r>
          </w:p>
        </w:tc>
        <w:tc>
          <w:tcPr>
            <w:tcW w:w="23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nein</w:t>
            </w:r>
          </w:p>
        </w:tc>
        <w:tc>
          <w:tcPr>
            <w:tcW w:w="356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fünf Sätze der Leitung</w:t>
            </w:r>
          </w:p>
        </w:tc>
      </w:tr>
      <w:tr>
        <w:trPr>
          <w:cantSplit/>
        </w:trPr>
        <w:tc>
          <w:tcPr>
            <w:tcW w:w="376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Ziele (6.2)</w:t>
            </w:r>
          </w:p>
        </w:tc>
        <w:tc>
          <w:tcPr>
            <w:tcW w:w="23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teilweise</w:t>
            </w:r>
          </w:p>
        </w:tc>
        <w:tc>
          <w:tcPr>
            <w:tcW w:w="356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Zahlen ohne Ziel und Termin</w:t>
            </w:r>
          </w:p>
        </w:tc>
      </w:tr>
      <w:tr>
        <w:trPr>
          <w:cantSplit/>
        </w:trPr>
        <w:tc>
          <w:tcPr>
            <w:tcW w:w="37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Überwachung und Messung (9.1)</w:t>
            </w:r>
          </w:p>
        </w:tc>
        <w:tc>
          <w:tcPr>
            <w:tcW w:w="23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ja</w:t>
            </w:r>
          </w:p>
        </w:tc>
        <w:tc>
          <w:tcPr>
            <w:tcW w:w="356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Festlegung, wer wann abliest</w:t>
            </w:r>
          </w:p>
        </w:tc>
      </w:tr>
      <w:tr>
        <w:trPr>
          <w:cantSplit/>
        </w:trPr>
        <w:tc>
          <w:tcPr>
            <w:tcW w:w="376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Internes Audit (9.2)</w:t>
            </w:r>
          </w:p>
        </w:tc>
        <w:tc>
          <w:tcPr>
            <w:tcW w:w="23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nein</w:t>
            </w:r>
          </w:p>
        </w:tc>
        <w:tc>
          <w:tcPr>
            <w:tcW w:w="356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 Audit im Jahr durch eine zweite Person</w:t>
            </w:r>
          </w:p>
        </w:tc>
      </w:tr>
      <w:tr>
        <w:trPr>
          <w:cantSplit/>
        </w:trPr>
        <w:tc>
          <w:tcPr>
            <w:tcW w:w="37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Managementbewertung (9.3)</w:t>
            </w:r>
          </w:p>
        </w:tc>
        <w:tc>
          <w:tcPr>
            <w:tcW w:w="23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nein</w:t>
            </w:r>
          </w:p>
        </w:tc>
        <w:tc>
          <w:tcPr>
            <w:tcW w:w="356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 im Jahr das Ganze</w:t>
            </w:r>
          </w:p>
        </w:tc>
      </w:tr>
      <w:tr>
        <w:trPr>
          <w:cantSplit/>
        </w:trPr>
        <w:tc>
          <w:tcPr>
            <w:tcW w:w="376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Nichtkonformität und Korrekturmaßnahmen (10.2)</w:t>
            </w:r>
          </w:p>
        </w:tc>
        <w:tc>
          <w:tcPr>
            <w:tcW w:w="23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teilweise</w:t>
            </w:r>
          </w:p>
        </w:tc>
        <w:tc>
          <w:tcPr>
            <w:tcW w:w="356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Notiz zu Ursache und Wirkung</w:t>
            </w:r>
          </w:p>
        </w:tc>
      </w:tr>
    </w:tbl>
    <w:p>
      <w:pPr>
        <w:keepNext/>
        <w:spacing w:before="260" w:after="120"/>
      </w:pPr>
      <w:r>
        <w:rPr>
          <w:b/>
          <w:bCs/>
          <w:color w:val="8C5A2B"/>
          <w:sz w:val="25"/>
          <w:szCs w:val="25"/>
        </w:rPr>
        <w:t xml:space="preserve">Praktische Anwendung: Systempunkte in sieben Schritten ehrlich nachweisen</w:t>
      </w:r>
    </w:p>
    <w:p>
      <w:pPr>
        <w:spacing w:after="140" w:line="300" w:lineRule="auto"/>
        <w:jc w:val="both"/>
      </w:pPr>
      <w:r>
        <w:rPr>
          <w:b/>
          <w:bCs/>
          <w:color w:val="1A1A1A"/>
        </w:rPr>
        <w:t xml:space="preserve">1. Den Abschnitt VII zuerst lesen.</w:t>
      </w:r>
      <w:r>
        <w:rPr>
          <w:color w:val="1A1A1A"/>
        </w:rPr>
        <w:t xml:space="preserve"> Trennen Sie, was in Ihrer Kategorie Pflicht ist und was Punkte bringt. Bei drei Sternen ist Nr. 230 Pflicht, Nr. 231 bringt Punkte.</w:t>
      </w:r>
    </w:p>
    <w:p>
      <w:pPr>
        <w:spacing w:after="140" w:line="300" w:lineRule="auto"/>
        <w:jc w:val="both"/>
      </w:pPr>
      <w:r>
        <w:rPr>
          <w:b/>
          <w:bCs/>
          <w:color w:val="1A1A1A"/>
        </w:rPr>
        <w:t xml:space="preserve">2. Für jeden Punkt den Nachweis suchen.</w:t>
      </w:r>
      <w:r>
        <w:rPr>
          <w:color w:val="1A1A1A"/>
        </w:rPr>
        <w:t xml:space="preserve"> Fragen Sie bei jeder Zeile, was ein Dritter in die Hand nehmen könnte. Was es nicht gibt, beantragen Sie nicht.</w:t>
      </w:r>
    </w:p>
    <w:p>
      <w:pPr>
        <w:spacing w:after="140" w:line="300" w:lineRule="auto"/>
        <w:jc w:val="both"/>
      </w:pPr>
      <w:r>
        <w:rPr>
          <w:b/>
          <w:bCs/>
          <w:color w:val="1A1A1A"/>
        </w:rPr>
        <w:t xml:space="preserve">3. Beschwerden dort zählen, wo sie gesagt werden.</w:t>
      </w:r>
      <w:r>
        <w:rPr>
          <w:color w:val="1A1A1A"/>
        </w:rPr>
        <w:t xml:space="preserve"> Eine Karte an der Kaffeemaschine und im Wäscheraum, ein Strich und ein Stichwort, kein Name. Einmal im Monat auswerten und die Reaktion notieren.</w:t>
      </w:r>
    </w:p>
    <w:p>
      <w:pPr>
        <w:spacing w:after="140" w:line="300" w:lineRule="auto"/>
        <w:jc w:val="both"/>
      </w:pPr>
      <w:r>
        <w:rPr>
          <w:b/>
          <w:bCs/>
          <w:color w:val="1A1A1A"/>
        </w:rPr>
        <w:t xml:space="preserve">4. Gäste aktiv fragen.</w:t>
      </w:r>
      <w:r>
        <w:rPr>
          <w:color w:val="1A1A1A"/>
        </w:rPr>
        <w:t xml:space="preserve"> Eine Karte mit zwei Fragen beim Check-out genügt für den Anfang. Werten Sie Karten und Plattformen zusammen aus, einmal im Quartal.</w:t>
      </w:r>
    </w:p>
    <w:p>
      <w:pPr>
        <w:spacing w:after="140" w:line="300" w:lineRule="auto"/>
        <w:jc w:val="both"/>
      </w:pPr>
      <w:r>
        <w:rPr>
          <w:b/>
          <w:bCs/>
          <w:color w:val="1A1A1A"/>
        </w:rPr>
        <w:t xml:space="preserve">5. Das Monatsblatt der Elementprobe unterziehen.</w:t>
      </w:r>
      <w:r>
        <w:rPr>
          <w:color w:val="1A1A1A"/>
        </w:rPr>
        <w:t xml:space="preserve"> Legen Sie es neben die Abschnitte 4 bis 10 des gemeinsamen Kerns. Was fehlt, kommt mit Termin in Ihren Plan.</w:t>
      </w:r>
    </w:p>
    <w:p>
      <w:pPr>
        <w:spacing w:after="140" w:line="300" w:lineRule="auto"/>
        <w:jc w:val="both"/>
      </w:pPr>
      <w:r>
        <w:rPr>
          <w:b/>
          <w:bCs/>
          <w:color w:val="1A1A1A"/>
        </w:rPr>
        <w:t xml:space="preserve">6. Vor dem Antrag fragen, was als vergleichbar gilt.</w:t>
      </w:r>
      <w:r>
        <w:rPr>
          <w:color w:val="1A1A1A"/>
        </w:rPr>
        <w:t xml:space="preserve"> Beschreiben Sie der Klassifizierung, was Ihr Haus hat, und beantragen Sie Nr. 233 erst, wenn Sie das System belegen können.</w:t>
      </w:r>
    </w:p>
    <w:p>
      <w:pPr>
        <w:spacing w:after="140" w:line="300" w:lineRule="auto"/>
        <w:jc w:val="both"/>
      </w:pPr>
      <w:r>
        <w:rPr>
          <w:b/>
          <w:bCs/>
          <w:color w:val="1A1A1A"/>
        </w:rPr>
        <w:t xml:space="preserve">7. Die Mappe ohne Namen anlegen.</w:t>
      </w:r>
      <w:r>
        <w:rPr>
          <w:color w:val="1A1A1A"/>
        </w:rPr>
        <w:t xml:space="preserve"> Zahlen, Themen, Notizen mit Datum, keine Zimmernummern und keine Gesundheitsangaben. Das Ablaufdatum der Klassifizierung kommt in die Managementbewertung.</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Wissen Sie, welche Kriterien in Abschnitt VII für Ihre Kategorie Pflicht sind?</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Zählen Sie auch mündliche Beschwerden?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Gibt es zu jeder Monatsauswertung eine Notiz, was das Haus geändert hat?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Fragt Ihr Haus Gäste aktiv nach ihrer Meinung?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Können Sie zwei Verbesserungen aus Bewertungen mit Datum zeigen?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Haben Sie Ihr Monatsblatt mit den Elementen des gemeinsamen Kerns verglichen?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Beantragen Sie nur Punkte, die am Tag der Prüfung belegt sind?</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Sind Ihre Nachweise frei von Namen, Zimmernummern und Gesundheitsangaben?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Das Beschwerdebuch für den Umgang mit Beschwerden halten.</w:t>
      </w:r>
      <w:r>
        <w:rPr>
          <w:color w:val="1A1A1A"/>
        </w:rPr>
        <w:t xml:space="preserve"> Es nimmt die wenigsten an und wertet keine aus.</w:t>
      </w:r>
    </w:p>
    <w:p>
      <w:pPr>
        <w:spacing w:after="140" w:line="300" w:lineRule="auto"/>
        <w:jc w:val="both"/>
      </w:pPr>
      <w:r>
        <w:rPr>
          <w:b/>
          <w:bCs/>
          <w:color w:val="1A1A1A"/>
        </w:rPr>
        <w:t xml:space="preserve">Lesen für Analyse halten.</w:t>
      </w:r>
      <w:r>
        <w:rPr>
          <w:color w:val="1A1A1A"/>
        </w:rPr>
        <w:t xml:space="preserve"> Die Fußnote zu Nr. 231 nennt Erhebung, Auswertung und Verbesserungen.</w:t>
      </w:r>
    </w:p>
    <w:p>
      <w:pPr>
        <w:spacing w:after="140" w:line="300" w:lineRule="auto"/>
        <w:jc w:val="both"/>
      </w:pPr>
      <w:r>
        <w:rPr>
          <w:b/>
          <w:bCs/>
          <w:color w:val="1A1A1A"/>
        </w:rPr>
        <w:t xml:space="preserve">Selbst festlegen, was vergleichbar ist.</w:t>
      </w:r>
      <w:r>
        <w:rPr>
          <w:color w:val="1A1A1A"/>
        </w:rPr>
        <w:t xml:space="preserve"> Ein abgelehnter Punkt kostet mehr Vertrauen, als er Punkte bringen sollte.</w:t>
      </w:r>
    </w:p>
    <w:p>
      <w:pPr>
        <w:spacing w:after="140" w:line="300" w:lineRule="auto"/>
        <w:jc w:val="both"/>
      </w:pPr>
      <w:r>
        <w:rPr>
          <w:b/>
          <w:bCs/>
          <w:color w:val="1A1A1A"/>
        </w:rPr>
        <w:t xml:space="preserve">Ein Element als System ausgeben.</w:t>
      </w:r>
      <w:r>
        <w:rPr>
          <w:color w:val="1A1A1A"/>
        </w:rPr>
        <w:t xml:space="preserve"> Das Monatsblatt misst; ein System bewertet und entscheidet auch.</w:t>
      </w:r>
    </w:p>
    <w:p>
      <w:pPr>
        <w:spacing w:after="140" w:line="300" w:lineRule="auto"/>
        <w:jc w:val="both"/>
      </w:pPr>
      <w:r>
        <w:rPr>
          <w:b/>
          <w:bCs/>
          <w:color w:val="1A1A1A"/>
        </w:rPr>
        <w:t xml:space="preserve">Punkte für Vorhaben beantragen.</w:t>
      </w:r>
      <w:r>
        <w:rPr>
          <w:color w:val="1A1A1A"/>
        </w:rPr>
        <w:t xml:space="preserve"> Honoriert wird, was am Tag der Prüfung belegt ist.</w:t>
      </w:r>
    </w:p>
    <w:p>
      <w:pPr>
        <w:spacing w:after="140" w:line="300" w:lineRule="auto"/>
        <w:jc w:val="both"/>
      </w:pPr>
      <w:r>
        <w:rPr>
          <w:b/>
          <w:bCs/>
          <w:color w:val="1A1A1A"/>
        </w:rPr>
        <w:t xml:space="preserve">Gästedaten in die Nachweismappe legen.</w:t>
      </w:r>
      <w:r>
        <w:rPr>
          <w:color w:val="1A1A1A"/>
        </w:rPr>
        <w:t xml:space="preserve"> Für die Klassifizierung genügen Zahlen und Themen.</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Strichliste und Monatsauswertung: 12 × 1 Std. × € 50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€ 600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je Jahr; Stundenwert der Inhaberin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Karte für den Check-out: 2 Std. × € 50 und Druck € 90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€ 190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Auswertung von Karten und Plattformen: 4 × 2 Std. × € 50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€ 400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je Jahr</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Elementprobe des Monatsblatts: 3 Std. × € 50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€ 150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Nachweismappe für die Klassifizierung: 5 Std. × € 50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€ 250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 je Klassifizierung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Aufbau eines Systems nach Band 9a: 120 Std. × € 50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€ 6.000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über zwei Jahre; Grundlage für Nr. 233</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Gebühren der Klassifizierung</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nicht eingerechnet</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nach dem Tarif des Trägers</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Ohne die vorletzte Zeile kommt die Rechnung im ersten Jahr auf € 1.590, danach auf € 1.000 im Jahr. Dafür belegt das Haus die Pflicht nach Nr. 230 und drei Punkte nach Nr. 231. Die zehn Punkte nach Nr. 233 kosten ein Vielfaches, aber nicht wegen der Klassifizierung: Die 120 Stunden sind die Arbeit am System, und den Nutzen dieser Arbeit hat das Haus im Alltag, mit oder ohne die Punkte.</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1"/>
        <w:gridCol w:w="3501"/>
        <w:gridCol w:w="2635"/>
      </w:tblGrid>
      <w:tr>
        <w:trPr>
          <w:tblHeader/>
        </w:trPr>
        <w:tc>
          <w:tcPr>
            <w:tcW w:w="350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50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263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5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Nr. 230: Annahme, Auswertung, angemessene Reaktion; Pflicht ab drei Sternen</w:t>
            </w:r>
          </w:p>
        </w:tc>
        <w:tc>
          <w:tcPr>
            <w:tcW w:w="35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Strichliste, zwölf Monatsauswertungen, Notizen zu Reaktionen</w:t>
            </w:r>
          </w:p>
        </w:tc>
        <w:tc>
          <w:tcPr>
            <w:tcW w:w="263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Band 9a (2.14): Notiz und Register</w:t>
            </w:r>
          </w:p>
        </w:tc>
      </w:tr>
      <w:tr>
        <w:trPr>
          <w:cantSplit/>
        </w:trPr>
        <w:tc>
          <w:tcPr>
            <w:tcW w:w="35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Nr. 231: aktive Erhebung, Auswertung, Schwachstellen, Verbesserungen</w:t>
            </w:r>
          </w:p>
        </w:tc>
        <w:tc>
          <w:tcPr>
            <w:tcW w:w="35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Karte beim Check-out; Auswertung je Quartal; zwei Verbesserungen mit Datum</w:t>
            </w:r>
          </w:p>
        </w:tc>
        <w:tc>
          <w:tcPr>
            <w:tcW w:w="263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Band 9a (2.13): Themen zählen statt Sterne</w:t>
            </w:r>
          </w:p>
        </w:tc>
      </w:tr>
      <w:tr>
        <w:trPr>
          <w:cantSplit/>
        </w:trPr>
        <w:tc>
          <w:tcPr>
            <w:tcW w:w="35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Nr. 233: QM-System nach ISO 9001:2015 oder vergleichbar</w:t>
            </w:r>
          </w:p>
        </w:tc>
        <w:tc>
          <w:tcPr>
            <w:tcW w:w="35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 umgesetztes System mit allen Elementen des gemeinsamen Kerns</w:t>
            </w:r>
          </w:p>
        </w:tc>
        <w:tc>
          <w:tcPr>
            <w:tcW w:w="263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Elementprobe vor dem Antrag</w:t>
            </w:r>
          </w:p>
        </w:tc>
      </w:tr>
      <w:tr>
        <w:trPr>
          <w:cantSplit/>
        </w:trPr>
        <w:tc>
          <w:tcPr>
            <w:tcW w:w="35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Nr. 25: Erreichbarkeit rund um die Uhr</w:t>
            </w:r>
          </w:p>
        </w:tc>
        <w:tc>
          <w:tcPr>
            <w:tcW w:w="35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Nummer an der Tür, Telefon in der Nacht</w:t>
            </w:r>
          </w:p>
        </w:tc>
        <w:tc>
          <w:tcPr>
            <w:tcW w:w="263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Band 9a (2.12)</w:t>
            </w:r>
          </w:p>
        </w:tc>
      </w:tr>
      <w:tr>
        <w:trPr>
          <w:cantSplit/>
        </w:trPr>
        <w:tc>
          <w:tcPr>
            <w:tcW w:w="35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Hotel garni: Mindestpunktzahl minus 20</w:t>
            </w:r>
          </w:p>
        </w:tc>
        <w:tc>
          <w:tcPr>
            <w:tcW w:w="35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eigene Punktezählung ohne die Kriterien 200 bis 203</w:t>
            </w:r>
          </w:p>
        </w:tc>
        <w:tc>
          <w:tcPr>
            <w:tcW w:w="263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Vorab-Zählung mit Belegen</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Systempunkte in der Klassifizierung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57"/>
        <w:gridCol w:w="2559"/>
        <w:gridCol w:w="2559"/>
        <w:gridCol w:w="2561"/>
      </w:tblGrid>
      <w:tr>
        <w:trPr>
          <w:tblHeader/>
        </w:trPr>
        <w:tc>
          <w:tcPr>
            <w:tcW w:w="195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5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5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6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95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Katalog</w:t>
            </w:r>
          </w:p>
        </w:tc>
        <w:tc>
          <w:tcPr>
            <w:tcW w:w="25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Deutsche Hotelklassifizierung im DEHOGA, 2025–2030</w:t>
            </w:r>
          </w:p>
        </w:tc>
        <w:tc>
          <w:tcPr>
            <w:tcW w:w="25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Wirtschaftskammern, 2025–2030, 239 Kriterien</w:t>
            </w:r>
          </w:p>
        </w:tc>
        <w:tc>
          <w:tcPr>
            <w:tcW w:w="256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HotellerieSuisse; GastroSuisse nach den Empfehlungen von HOTREC</w:t>
            </w:r>
          </w:p>
        </w:tc>
      </w:tr>
      <w:tr>
        <w:trPr>
          <w:cantSplit/>
        </w:trPr>
        <w:tc>
          <w:tcPr>
            <w:tcW w:w="195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QM-System (Nr. 233)</w:t>
            </w:r>
          </w:p>
        </w:tc>
        <w:tc>
          <w:tcPr>
            <w:tcW w:w="25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10 Punkte</w:t>
            </w:r>
          </w:p>
        </w:tc>
        <w:tc>
          <w:tcPr>
            <w:tcW w:w="25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15 Punkte, freiwillig</w:t>
            </w:r>
          </w:p>
        </w:tc>
        <w:tc>
          <w:tcPr>
            <w:tcW w:w="25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Guesthouse: keine Punkte, alle Kriterien gelten</w:t>
            </w:r>
          </w:p>
        </w:tc>
      </w:tr>
      <w:tr>
        <w:trPr>
          <w:cantSplit/>
        </w:trPr>
        <w:tc>
          <w:tcPr>
            <w:tcW w:w="195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Beschwerden und Bewertungen (Nr. 230, 231)</w:t>
            </w:r>
          </w:p>
        </w:tc>
        <w:tc>
          <w:tcPr>
            <w:tcW w:w="25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Pflicht ab drei bzw. vier Sternen; 1 und 3 Punkte</w:t>
            </w:r>
          </w:p>
        </w:tc>
        <w:tc>
          <w:tcPr>
            <w:tcW w:w="25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freiwillig; 1 und 3 Punkte</w:t>
            </w:r>
          </w:p>
        </w:tc>
        <w:tc>
          <w:tcPr>
            <w:tcW w:w="256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t>
            </w:r>
          </w:p>
        </w:tc>
      </w:tr>
      <w:tr>
        <w:trPr>
          <w:cantSplit/>
        </w:trPr>
        <w:tc>
          <w:tcPr>
            <w:tcW w:w="195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Nachhaltigkeitslabel (Nr. 238)</w:t>
            </w:r>
          </w:p>
        </w:tc>
        <w:tc>
          <w:tcPr>
            <w:tcW w:w="25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20 Punkte</w:t>
            </w:r>
          </w:p>
        </w:tc>
        <w:tc>
          <w:tcPr>
            <w:tcW w:w="25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20 Punkte, etwa Österreichisches Umweltzeichen oder EU-Umweltzeichen</w:t>
            </w:r>
          </w:p>
        </w:tc>
        <w:tc>
          <w:tcPr>
            <w:tcW w:w="25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Guesthouse Nr. 41: anerkanntes Label erfüllt die Messung</w:t>
            </w:r>
          </w:p>
        </w:tc>
      </w:tr>
      <w:tr>
        <w:trPr>
          <w:cantSplit/>
        </w:trPr>
        <w:tc>
          <w:tcPr>
            <w:tcW w:w="195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Garni</w:t>
            </w:r>
          </w:p>
        </w:tc>
        <w:tc>
          <w:tcPr>
            <w:tcW w:w="25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Kriterien 200 bis 203 nicht gewertet, Mindestpunktzahl minus 20, höchstens vier Sterne</w:t>
            </w:r>
          </w:p>
        </w:tc>
        <w:tc>
          <w:tcPr>
            <w:tcW w:w="25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höchstens vier Sterne, kein Superior, niedrigere Punktegrenzen</w:t>
            </w:r>
          </w:p>
        </w:tc>
        <w:tc>
          <w:tcPr>
            <w:tcW w:w="256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t>
            </w:r>
          </w:p>
        </w:tc>
      </w:tr>
      <w:tr>
        <w:trPr>
          <w:cantSplit/>
        </w:trPr>
        <w:tc>
          <w:tcPr>
            <w:tcW w:w="195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Daten in den Nachweisen</w:t>
            </w:r>
          </w:p>
        </w:tc>
        <w:tc>
          <w:tcPr>
            <w:tcW w:w="25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DSGVO</w:t>
            </w:r>
          </w:p>
        </w:tc>
        <w:tc>
          <w:tcPr>
            <w:tcW w:w="25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DSGVO</w:t>
            </w:r>
          </w:p>
        </w:tc>
        <w:tc>
          <w:tcPr>
            <w:tcW w:w="256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Datenschutzgesetz</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4.5.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4.5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