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9b · Kleine Betriebe — Prüfen, wo jeder alles macht</w:t>
      </w:r>
    </w:p>
    <w:p>
      <w:pPr>
        <w:pStyle w:val="Titolo2"/>
        <w:keepNext/>
        <w:keepLines/>
        <w:spacing w:after="200" w:line="340" w:lineRule="auto"/>
      </w:pPr>
      <w:r>
        <w:t xml:space="preserve">Arbeitsmaterial zu Abschnitt 4.6</w:t>
      </w:r>
    </w:p>
    <w:p>
      <w:r>
        <w:rPr>
          <w:b/>
          <w:i w:val="0"/>
          <w:sz w:val="24"/>
        </w:rPr>
        <w:t>Das Österreichische Umweltzeichen für ein kleines Haus</w:t>
      </w:r>
    </w:p>
    <w:p>
      <w:r>
        <w:rPr>
          <w:b w:val="0"/>
          <w:i/>
          <w:sz w:val="20"/>
        </w:rPr>
        <w:t>Das Österreichische Umweltzeichen vorbereiten: Modul, Muss- und Soll-Kriterien und die Unterlagen aus dem eigenen System.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pPr>
              <w:spacing w:line="300" w:lineRule="auto"/>
            </w:pPr>
            <w:r>
              <w:rPr>
                <w:b/>
                <w:bCs/>
                <w:color w:val="8C5A2B"/>
                <w:sz w:val="18"/>
                <w:szCs w:val="18"/>
              </w:rPr>
              <w:t xml:space="preserve">Leitfrage </w:t>
            </w:r>
            <w:r>
              <w:rPr>
                <w:i/>
                <w:iCs/>
                <w:color w:val="1A1A1A"/>
              </w:rPr>
              <w:t>Wenn Ihnen jemand sagt, für kleine Häuser sei das Umweltzeichen viel leichter zu bekommen: Wissen Sie, für welches Modul der Richtlinie das gilt und ob Ihr Haus dazugehört? Und was haben Sie nach der Prüfung in der Hand, und was nicht?</w:t>
            </w:r>
          </w:p>
        </w:tc>
      </w:tr>
    </w:tbl>
    <w:p>
      <w:r>
        <w:rPr>
          <w:b w:val="0"/>
          <w:i/>
          <w:sz w:val="19"/>
        </w:rPr>
        <w:t>Dieses Blatt gibt den Werkzeugteil des Abschnitts in bearbeitbarer Form wieder: die Fragen in ihrer Reihenfolge, den Hinweis, was verlangt ist, von wem es verlangt ist und was nur Anleitung oder Methode ist, und die Zahlen der Modellrechnung zum Ersetzen durch die eigenen. Die Begründung jedes Schritts steht im Buch. Das Blatt ersetzt weder die Norm noch eine Beratung im Einzelfall.</w:t>
      </w:r>
    </w:p>
    <w:p>
      <w:pPr>
        <w:keepNext/>
        <w:spacing w:before="260" w:after="120"/>
      </w:pPr>
      <w:r>
        <w:rPr>
          <w:b/>
          <w:bCs/>
          <w:color w:val="8C5A2B"/>
          <w:sz w:val="25"/>
          <w:szCs w:val="25"/>
        </w:rPr>
        <w:t xml:space="preserve">Das Werkzeug des Abschnitts</w:t>
      </w:r>
    </w:p>
    <w:p>
      <w:pPr>
        <w:keepNext/>
        <w:spacing w:before="160" w:after="90"/>
      </w:pPr>
      <w:r>
        <w:rPr>
          <w:b/>
          <w:bCs/>
          <w:color w:val="5A5A5A"/>
          <w:sz w:val="18"/>
          <w:szCs w:val="18"/>
        </w:rPr>
        <w:t xml:space="preserve">Tabelle 2 — Was das Zeichen leistet, und was das Haus selbst leistet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7"/>
        <w:gridCol w:w="4173"/>
        <w:gridCol w:w="3556"/>
      </w:tblGrid>
      <w:tr>
        <w:trPr>
          <w:tblHeader/>
        </w:trPr>
        <w:tc>
          <w:tcPr>
            <w:tcW w:w="190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Frage</w:t>
            </w:r>
          </w:p>
        </w:tc>
        <w:tc>
          <w:tcPr>
            <w:tcW w:w="417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Österreichisches Umweltzeichen</w:t>
            </w:r>
          </w:p>
        </w:tc>
        <w:tc>
          <w:tcPr>
            <w:tcW w:w="355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das Haus selbst leistet</w:t>
            </w:r>
          </w:p>
        </w:tc>
      </w:tr>
      <w:tr>
        <w:trPr>
          <w:cantSplit/>
        </w:trPr>
        <w:tc>
          <w:tcPr>
            <w:tcW w:w="190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Wer prüft?</w:t>
            </w:r>
          </w:p>
        </w:tc>
        <w:tc>
          <w:tcPr>
            <w:tcW w:w="417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Prüferin oder Prüfer, vom VKI zugeteilt, teils vor Ort</w:t>
            </w:r>
          </w:p>
        </w:tc>
        <w:tc>
          <w:tcPr>
            <w:tcW w:w="355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Unterlagen und Belege vorbereiten</w:t>
            </w:r>
          </w:p>
        </w:tc>
      </w:tr>
      <w:tr>
        <w:trPr>
          <w:cantSplit/>
        </w:trPr>
        <w:tc>
          <w:tcPr>
            <w:tcW w:w="190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Was wird geprüft?</w:t>
            </w:r>
          </w:p>
        </w:tc>
        <w:tc>
          <w:tcPr>
            <w:tcW w:w="417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Muss-Kriterien des Betriebstyps, Soll-Punkte</w:t>
            </w:r>
          </w:p>
        </w:tc>
        <w:tc>
          <w:tcPr>
            <w:tcW w:w="355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Modul klären, Kriterien mit Belegen auflisten</w:t>
            </w:r>
          </w:p>
        </w:tc>
      </w:tr>
      <w:tr>
        <w:trPr>
          <w:cantSplit/>
        </w:trPr>
        <w:tc>
          <w:tcPr>
            <w:tcW w:w="190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Wie lange?</w:t>
            </w:r>
          </w:p>
        </w:tc>
        <w:tc>
          <w:tcPr>
            <w:tcW w:w="417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in der Regel vier Jahre, danach Folgeprüfung</w:t>
            </w:r>
          </w:p>
        </w:tc>
        <w:tc>
          <w:tcPr>
            <w:tcW w:w="355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Zwischenbewertung mindestens alle zwei Jahre</w:t>
            </w:r>
          </w:p>
        </w:tc>
      </w:tr>
      <w:tr>
        <w:trPr>
          <w:cantSplit/>
        </w:trPr>
        <w:tc>
          <w:tcPr>
            <w:tcW w:w="190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Was kostet es?</w:t>
            </w:r>
          </w:p>
        </w:tc>
        <w:tc>
          <w:tcPr>
            <w:tcW w:w="417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Antrag mit Erstprüfung und Jahresgebühr nach Bettenzahl</w:t>
            </w:r>
          </w:p>
        </w:tc>
        <w:tc>
          <w:tcPr>
            <w:tcW w:w="355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Energieaudit, Maßnahmen, eigene Stunden</w:t>
            </w:r>
          </w:p>
        </w:tc>
      </w:tr>
      <w:tr>
        <w:trPr>
          <w:cantSplit/>
        </w:trPr>
        <w:tc>
          <w:tcPr>
            <w:tcW w:w="190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Was belegt es?</w:t>
            </w:r>
          </w:p>
        </w:tc>
        <w:tc>
          <w:tcPr>
            <w:tcW w:w="417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erbrachte Umweltleistungen nach der Richtlinie</w:t>
            </w:r>
          </w:p>
        </w:tc>
        <w:tc>
          <w:tcPr>
            <w:tcW w:w="355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Aussagen nach außen auf das Belegte begrenzen</w:t>
            </w:r>
          </w:p>
        </w:tc>
      </w:tr>
    </w:tbl>
    <w:p>
      <w:pPr>
        <w:keepNext/>
        <w:spacing w:before="260" w:after="120"/>
      </w:pPr>
      <w:r>
        <w:rPr>
          <w:b/>
          <w:bCs/>
          <w:color w:val="8C5A2B"/>
          <w:sz w:val="25"/>
          <w:szCs w:val="25"/>
        </w:rPr>
        <w:t xml:space="preserve">Praktische Anwendung: das Umweltzeichen in sieben Schritten vorbereiten</w:t>
      </w:r>
    </w:p>
    <w:p>
      <w:pPr>
        <w:spacing w:after="140" w:line="300" w:lineRule="auto"/>
        <w:jc w:val="both"/>
      </w:pPr>
      <w:r>
        <w:rPr>
          <w:b/>
          <w:bCs/>
          <w:color w:val="1A1A1A"/>
        </w:rPr>
        <w:t xml:space="preserve">1. Das Modul klären, bevor Sie Punkte zählen.</w:t>
      </w:r>
      <w:r>
        <w:rPr>
          <w:color w:val="1A1A1A"/>
        </w:rPr>
        <w:t xml:space="preserve"> Prüfen Sie, ob Ihr Haus mit oder ohne Gastgewerbeberechtigung vermietet und welchem Betriebstyp es angehört. Erst dann wissen Sie, welche Erleichterungen für Sie gelten.</w:t>
      </w:r>
    </w:p>
    <w:p>
      <w:pPr>
        <w:spacing w:after="140" w:line="300" w:lineRule="auto"/>
        <w:jc w:val="both"/>
      </w:pPr>
      <w:r>
        <w:rPr>
          <w:b/>
          <w:bCs/>
          <w:color w:val="1A1A1A"/>
        </w:rPr>
        <w:t xml:space="preserve">2. Die Muss-Kriterien mit Belegen auflisten.</w:t>
      </w:r>
      <w:r>
        <w:rPr>
          <w:color w:val="1A1A1A"/>
        </w:rPr>
        <w:t xml:space="preserve"> Eine Zeile je Kriterium, daneben der Beleg: Rechnung, Foto, Etikett, Vertrag. Was nicht anwendbar ist, begründen Sie, etwa mit dem Denkmalschutz.</w:t>
      </w:r>
    </w:p>
    <w:p>
      <w:pPr>
        <w:spacing w:after="140" w:line="300" w:lineRule="auto"/>
        <w:jc w:val="both"/>
      </w:pPr>
      <w:r>
        <w:rPr>
          <w:b/>
          <w:bCs/>
          <w:color w:val="1A1A1A"/>
        </w:rPr>
        <w:t xml:space="preserve">3. Die Soll-Punkte mit Reserve wählen.</w:t>
      </w:r>
      <w:r>
        <w:rPr>
          <w:color w:val="1A1A1A"/>
        </w:rPr>
        <w:t xml:space="preserve"> Planen Sie zwei Punkte mehr als nötig. Wählen Sie zuerst, was das Haus schon tut, dann, was wenig kostet.</w:t>
      </w:r>
    </w:p>
    <w:p>
      <w:pPr>
        <w:spacing w:after="140" w:line="300" w:lineRule="auto"/>
        <w:jc w:val="both"/>
      </w:pPr>
      <w:r>
        <w:rPr>
          <w:b/>
          <w:bCs/>
          <w:color w:val="1A1A1A"/>
        </w:rPr>
        <w:t xml:space="preserve">4. Das Energieaudit früh beauftragen.</w:t>
      </w:r>
      <w:r>
        <w:rPr>
          <w:color w:val="1A1A1A"/>
        </w:rPr>
        <w:t xml:space="preserve"> Fachleute sind vor der Saison ausgebucht. Fragen Sie vorher beim Landesprogramm nach einer Förderung der Beratung.</w:t>
      </w:r>
    </w:p>
    <w:p>
      <w:pPr>
        <w:spacing w:after="140" w:line="300" w:lineRule="auto"/>
        <w:jc w:val="both"/>
      </w:pPr>
      <w:r>
        <w:rPr>
          <w:b/>
          <w:bCs/>
          <w:color w:val="1A1A1A"/>
        </w:rPr>
        <w:t xml:space="preserve">5. Die Zahlen aus dem eigenen System nehmen.</w:t>
      </w:r>
      <w:r>
        <w:rPr>
          <w:color w:val="1A1A1A"/>
        </w:rPr>
        <w:t xml:space="preserve"> </w:t>
      </w:r>
      <w:r>
        <w:rPr>
          <w:color w:val="1A1A1A"/>
        </w:rPr>
        <w:t xml:space="preserve">Monatsblatt, Rechnungen und Nächtigungen eines Jahres reichen für die Kennzahlen. Deuten Sie sie mit Belegung und Witterung, nicht allein.</w:t>
      </w:r>
    </w:p>
    <w:p>
      <w:pPr>
        <w:spacing w:after="140" w:line="300" w:lineRule="auto"/>
        <w:jc w:val="both"/>
      </w:pPr>
      <w:r>
        <w:rPr>
          <w:b/>
          <w:bCs/>
          <w:color w:val="1A1A1A"/>
        </w:rPr>
        <w:t xml:space="preserve">6. Den Prüftag im Betrieb planen.</w:t>
      </w:r>
      <w:r>
        <w:rPr>
          <w:color w:val="1A1A1A"/>
        </w:rPr>
        <w:t xml:space="preserve"> Legen Sie die Mappe nach den Bereichen der Richtlinie an, gehen Sie den Rundgang vorher mit einer zweiten Person ab und halten Sie Gästedaten geschlossen.</w:t>
      </w:r>
    </w:p>
    <w:p>
      <w:pPr>
        <w:spacing w:after="140" w:line="300" w:lineRule="auto"/>
        <w:jc w:val="both"/>
      </w:pPr>
      <w:r>
        <w:rPr>
          <w:b/>
          <w:bCs/>
          <w:color w:val="1A1A1A"/>
        </w:rPr>
        <w:t xml:space="preserve">7. Die vier Jahre in den Kalender schreiben.</w:t>
      </w:r>
      <w:r>
        <w:rPr>
          <w:color w:val="1A1A1A"/>
        </w:rPr>
        <w:t xml:space="preserve"> Jahresgebühr, Zwischenbewertung alle zwei Jahre als Teil der Managementbewertung, Folgeprüfung nach vier Jahren.</w:t>
      </w:r>
    </w:p>
    <w:p>
      <w:pPr>
        <w:keepNext/>
        <w:spacing w:before="260" w:after="120"/>
      </w:pPr>
      <w:r>
        <w:rPr>
          <w:b/>
          <w:bCs/>
          <w:color w:val="8C5A2B"/>
          <w:sz w:val="25"/>
          <w:szCs w:val="25"/>
        </w:rPr>
        <w:t xml:space="preserve">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Nachweis / Bemerkung</w:t>
            </w: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Wissen Sie, welches Modul der Richtlinie für Ihr Haus gilt?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Haben Sie geprüft, ob die Erleichterungen, die Sie gehört haben, an Ihr Modul gebunden sind?</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Haben Sie alle Muss-Kriterien mit einem Beleg aufgelistet?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Haben Sie mehr Soll-Punkte geplant als nötig?</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Ist geklärt, welchen Nachweis zur Energie Ihr Haus vorlegen muss?</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Kennen Sie Ihre Gebührenkategorie nach der Bettenzahl?</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Steht die Zwischenbewertung in Ihrem Kalender?</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Sagt Ihre Website mit dem Zeichen nicht mehr, als es belegt?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bl>
    <w:p>
      <w:pPr>
        <w:spacing w:after="140"/>
      </w:pPr>
    </w:p>
    <w:p>
      <w:pPr>
        <w:keepNext/>
        <w:spacing w:before="260" w:after="120"/>
      </w:pPr>
      <w:r>
        <w:rPr>
          <w:b/>
          <w:bCs/>
          <w:color w:val="8C5A2B"/>
          <w:sz w:val="25"/>
          <w:szCs w:val="25"/>
        </w:rPr>
        <w:t xml:space="preserve">Häufige Fehler</w:t>
      </w:r>
    </w:p>
    <w:p>
      <w:pPr>
        <w:spacing w:after="140" w:line="300" w:lineRule="auto"/>
        <w:jc w:val="both"/>
      </w:pPr>
      <w:r>
        <w:rPr>
          <w:b/>
          <w:bCs/>
          <w:color w:val="1A1A1A"/>
        </w:rPr>
        <w:t xml:space="preserve">Klein mit privat verwechseln.</w:t>
      </w:r>
      <w:r>
        <w:rPr>
          <w:color w:val="1A1A1A"/>
        </w:rPr>
        <w:t xml:space="preserve"> Die Erleichterungen der Richtlinie hängen am Betriebstyp, nicht an der Zimmerzahl.</w:t>
      </w:r>
    </w:p>
    <w:p>
      <w:pPr>
        <w:spacing w:after="140" w:line="300" w:lineRule="auto"/>
        <w:jc w:val="both"/>
      </w:pPr>
      <w:r>
        <w:rPr>
          <w:b/>
          <w:bCs/>
          <w:color w:val="1A1A1A"/>
        </w:rPr>
        <w:t xml:space="preserve">Erfahrungen der Nachbarn übernehmen.</w:t>
      </w:r>
      <w:r>
        <w:rPr>
          <w:color w:val="1A1A1A"/>
        </w:rPr>
        <w:t xml:space="preserve"> Sie stimmen für deren Modul und vielleicht nicht für Ihres.</w:t>
      </w:r>
    </w:p>
    <w:p>
      <w:pPr>
        <w:spacing w:after="140" w:line="300" w:lineRule="auto"/>
        <w:jc w:val="both"/>
      </w:pPr>
      <w:r>
        <w:rPr>
          <w:b/>
          <w:bCs/>
          <w:color w:val="1A1A1A"/>
        </w:rPr>
        <w:t xml:space="preserve">Nur die Antragsgebühr rechnen.</w:t>
      </w:r>
      <w:r>
        <w:rPr>
          <w:color w:val="1A1A1A"/>
        </w:rPr>
        <w:t xml:space="preserve"> Energieaudit, Jahresgebühr und eigene Stunden sind der größere Teil.</w:t>
      </w:r>
    </w:p>
    <w:p>
      <w:pPr>
        <w:spacing w:after="140" w:line="300" w:lineRule="auto"/>
        <w:jc w:val="both"/>
      </w:pPr>
      <w:r>
        <w:rPr>
          <w:b/>
          <w:bCs/>
          <w:color w:val="1A1A1A"/>
        </w:rPr>
        <w:t xml:space="preserve">Von der Prüferin </w:t>
      </w:r>
      <w:r>
        <w:rPr>
          <w:b/>
          <w:bCs/>
          <w:color w:val="1A1A1A"/>
        </w:rPr>
        <w:t xml:space="preserve">Beratung erwarten.</w:t>
      </w:r>
      <w:r>
        <w:rPr>
          <w:color w:val="1A1A1A"/>
        </w:rPr>
        <w:t xml:space="preserve"> Beratung und Prüfung sind getrennt; am Prüftag wird geprüft.</w:t>
      </w:r>
    </w:p>
    <w:p>
      <w:pPr>
        <w:spacing w:after="140" w:line="300" w:lineRule="auto"/>
        <w:jc w:val="both"/>
      </w:pPr>
      <w:r>
        <w:rPr>
          <w:b/>
          <w:bCs/>
          <w:color w:val="1A1A1A"/>
        </w:rPr>
        <w:t xml:space="preserve">Die Zwischenbewertung vergessen.</w:t>
      </w:r>
      <w:r>
        <w:rPr>
          <w:color w:val="1A1A1A"/>
        </w:rPr>
        <w:t xml:space="preserve"> Nach zwei Jahren fehlt sonst ein Nachweis, den die Richtlinie verlangt.</w:t>
      </w:r>
    </w:p>
    <w:p>
      <w:pPr>
        <w:spacing w:after="140" w:line="300" w:lineRule="auto"/>
        <w:jc w:val="both"/>
      </w:pPr>
      <w:r>
        <w:rPr>
          <w:b/>
          <w:bCs/>
          <w:color w:val="1A1A1A"/>
        </w:rPr>
        <w:t xml:space="preserve">Mit dem Zeichen mehr sagen, als es belegt.</w:t>
      </w:r>
      <w:r>
        <w:rPr>
          <w:color w:val="1A1A1A"/>
        </w:rPr>
        <w:t xml:space="preserve"> Das Zeichen macht aus einer Pension kein klimaneutrales Haus.</w:t>
      </w:r>
    </w:p>
    <w:p>
      <w:pPr>
        <w:keepNext/>
        <w:spacing w:before="260" w:after="120"/>
      </w:pPr>
      <w:r>
        <w:rPr>
          <w:b/>
          <w:bCs/>
          <w:color w:val="8C5A2B"/>
          <w:sz w:val="25"/>
          <w:szCs w:val="25"/>
        </w:rPr>
        <w:t xml:space="preserve">Modellrechnung</w:t>
      </w:r>
    </w:p>
    <w:p>
      <w:pPr>
        <w:keepNext/>
        <w:spacing w:before="160" w:after="90"/>
      </w:pPr>
      <w:r>
        <w:rPr>
          <w:b/>
          <w:bCs/>
          <w:color w:val="5A5A5A"/>
          <w:sz w:val="18"/>
          <w:szCs w:val="18"/>
        </w:rPr>
        <w:t xml:space="preserve">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Eigener Wert</w:t>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Antragsgebühr Kategorie 2, mit Erstprüfung</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€ 841</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einmalig; Tarif seit 1. März 2024, jährlich angepasst</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Jahresgebühr Kategorie 2, mit nächster Folgeprüfung</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€ 323</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je Jahr</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Energieaudit durch eine Fachperson</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€ 1.400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Modellannahme, vor einer möglichen Förderung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Unterlagen und Belege: 30 Std. × € 45</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€ 1.350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einmalig; Stundenwert der Inhaberin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Prüftag begleiten: 5 Std. × € 45</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€ 225</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je Prüfung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Maßnahmen für Soll-Punkte</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€ 600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Modellannahme; etwa Durchflussbegrenzer, Trennbehälter</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Zwischenbewertung: 6 Std. × € 45</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€ 270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alle zwei Jahre</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bl>
    <w:p>
      <w:pPr>
        <w:spacing w:after="140"/>
      </w:pPr>
    </w:p>
    <w:p>
      <w:pPr>
        <w:spacing w:after="140" w:line="300" w:lineRule="auto"/>
        <w:jc w:val="both"/>
      </w:pPr>
      <w:r>
        <w:rPr>
          <w:color w:val="1A1A1A"/>
        </w:rPr>
        <w:t xml:space="preserve">Im ersten Jahr kommt die Rechnung ohne Jahresgebühr auf € 4.416. Über vier Jahre mit drei Jahresgebühren und zwei Zwischenbewertungen sind es € 5.925, im Schnitt knapp € 1.500 im Jahr. Die veröffentlichten Gebühren machen davon knapp ein Drittel aus; der Rest sind das Energieaudit, die Maßnahmen und die Stunden der Inhaberin. Hätte Martha das Modul nicht geprüft, wäre der teuerste Posten erst am Prüftag aufgefallen.</w:t>
      </w:r>
    </w:p>
    <w:p>
      <w:pPr>
        <w:keepNext/>
        <w:spacing w:before="260" w:after="120"/>
      </w:pPr>
      <w:r>
        <w:rPr>
          <w:b/>
          <w:bCs/>
          <w:color w:val="8C5A2B"/>
          <w:sz w:val="25"/>
          <w:szCs w:val="25"/>
        </w:rPr>
        <w:t xml:space="preserve">Was verlangt ist und was nur Anleitung ist</w:t>
      </w:r>
    </w:p>
    <w:p>
      <w:pPr>
        <w:keepNext/>
        <w:spacing w:before="160" w:after="90"/>
      </w:pPr>
      <w:r>
        <w:rPr>
          <w:b/>
          <w:bCs/>
          <w:color w:val="5A5A5A"/>
          <w:sz w:val="18"/>
          <w:szCs w:val="18"/>
        </w:rPr>
        <w:t xml:space="preserve">Tabelle 4 — Was verlangt ist, und was nur Anleitung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11"/>
        <w:gridCol w:w="3211"/>
        <w:gridCol w:w="3214"/>
      </w:tblGrid>
      <w:tr>
        <w:trPr>
          <w:tblHeader/>
        </w:trPr>
        <w:tc>
          <w:tcPr>
            <w:tcW w:w="321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Verlangt</w:t>
            </w:r>
          </w:p>
        </w:tc>
        <w:tc>
          <w:tcPr>
            <w:tcW w:w="321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es im kleinen Haus belegt</w:t>
            </w:r>
          </w:p>
        </w:tc>
        <w:tc>
          <w:tcPr>
            <w:tcW w:w="321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Nur Leitfaden oder Methode</w:t>
            </w:r>
          </w:p>
        </w:tc>
      </w:tr>
      <w:tr>
        <w:trPr>
          <w:cantSplit/>
        </w:trPr>
        <w:tc>
          <w:tcPr>
            <w:tcW w:w="321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Muss-Kriterien des Betriebstyps erfüllen</w:t>
            </w:r>
          </w:p>
        </w:tc>
        <w:tc>
          <w:tcPr>
            <w:tcW w:w="321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Liste aller Muss-Kriterien mit Beleg; nicht anwendbare begründet</w:t>
            </w:r>
          </w:p>
        </w:tc>
        <w:tc>
          <w:tcPr>
            <w:tcW w:w="321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nach den siebzehn Bereichen ordnen</w:t>
            </w:r>
          </w:p>
        </w:tc>
      </w:tr>
      <w:tr>
        <w:trPr>
          <w:cantSplit/>
        </w:trPr>
        <w:tc>
          <w:tcPr>
            <w:tcW w:w="321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Soll-Punkte: zehn in der Beherbergung, fünf privat</w:t>
            </w:r>
          </w:p>
        </w:tc>
        <w:tc>
          <w:tcPr>
            <w:tcW w:w="321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Punkteliste mit Belegen</w:t>
            </w:r>
          </w:p>
        </w:tc>
        <w:tc>
          <w:tcPr>
            <w:tcW w:w="321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Methode: zwei Punkte Reserve planen</w:t>
            </w:r>
          </w:p>
        </w:tc>
      </w:tr>
      <w:tr>
        <w:trPr>
          <w:cantSplit/>
        </w:trPr>
        <w:tc>
          <w:tcPr>
            <w:tcW w:w="321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Energieaudit, bei Privatvermietern Selbstbewertung mit Fotos</w:t>
            </w:r>
          </w:p>
        </w:tc>
        <w:tc>
          <w:tcPr>
            <w:tcW w:w="321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Bericht des Energieaudits</w:t>
            </w:r>
          </w:p>
        </w:tc>
        <w:tc>
          <w:tcPr>
            <w:tcW w:w="321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Beratungsförderung über ein Landesprogramm</w:t>
            </w:r>
          </w:p>
        </w:tc>
      </w:tr>
      <w:tr>
        <w:trPr>
          <w:cantSplit/>
        </w:trPr>
        <w:tc>
          <w:tcPr>
            <w:tcW w:w="321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Zwischenbewertung mindestens alle zwei Jahre; Bewertungsbericht alle zwei Jahre</w:t>
            </w:r>
          </w:p>
        </w:tc>
        <w:tc>
          <w:tcPr>
            <w:tcW w:w="321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Zwischenbewertung als Teil der Managementbewertung</w:t>
            </w:r>
          </w:p>
        </w:tc>
        <w:tc>
          <w:tcPr>
            <w:tcW w:w="321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Band 9a (2.15)</w:t>
            </w:r>
          </w:p>
        </w:tc>
      </w:tr>
      <w:tr>
        <w:trPr>
          <w:cantSplit/>
        </w:trPr>
        <w:tc>
          <w:tcPr>
            <w:tcW w:w="321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Prüfung vor Ort durch eine vom VKI zugeteilte Person</w:t>
            </w:r>
          </w:p>
        </w:tc>
        <w:tc>
          <w:tcPr>
            <w:tcW w:w="321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Mappe mit Unterlagen; begleiteter Rundgang</w:t>
            </w:r>
          </w:p>
        </w:tc>
        <w:tc>
          <w:tcPr>
            <w:tcW w:w="321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Probe-Rundgang mit einer zweiten Person</w:t>
            </w:r>
          </w:p>
        </w:tc>
      </w:tr>
      <w:tr>
        <w:trPr>
          <w:cantSplit/>
        </w:trPr>
        <w:tc>
          <w:tcPr>
            <w:tcW w:w="321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Messung und Bewertung im eigenen System (HS 9.1, 9.3)</w:t>
            </w:r>
          </w:p>
        </w:tc>
        <w:tc>
          <w:tcPr>
            <w:tcW w:w="321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Monatsblatt mit Strom, Heizöl, Wasser je Nächtigung</w:t>
            </w:r>
          </w:p>
        </w:tc>
        <w:tc>
          <w:tcPr>
            <w:tcW w:w="321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Band 9a (2.13): erster Hinweis, keine Bewertung der Effizienz</w:t>
            </w:r>
          </w:p>
        </w:tc>
      </w:tr>
    </w:tbl>
    <w:p>
      <w:pPr>
        <w:keepNext/>
        <w:spacing w:before="260" w:after="120"/>
      </w:pPr>
      <w:r>
        <w:rPr>
          <w:b/>
          <w:bCs/>
          <w:color w:val="8C5A2B"/>
          <w:sz w:val="25"/>
          <w:szCs w:val="25"/>
        </w:rPr>
        <w:t xml:space="preserve">Der Rahmen in Deutschland, Österreich und der Schweiz</w:t>
      </w:r>
    </w:p>
    <w:p>
      <w:pPr>
        <w:keepNext/>
        <w:spacing w:before="160" w:after="90"/>
      </w:pPr>
      <w:r>
        <w:rPr>
          <w:b/>
          <w:bCs/>
          <w:color w:val="5A5A5A"/>
          <w:sz w:val="18"/>
          <w:szCs w:val="18"/>
        </w:rPr>
        <w:t xml:space="preserve">Tabelle 5 — DACH-Anker: geprüfte Umweltzeichen für kleine Häuser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62"/>
        <w:gridCol w:w="2590"/>
        <w:gridCol w:w="2590"/>
        <w:gridCol w:w="2594"/>
      </w:tblGrid>
      <w:tr>
        <w:trPr>
          <w:tblHeader/>
        </w:trPr>
        <w:tc>
          <w:tcPr>
            <w:tcW w:w="18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Ebene</w:t>
            </w:r>
          </w:p>
        </w:tc>
        <w:tc>
          <w:tcPr>
            <w:tcW w:w="259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Deutschland</w:t>
            </w:r>
          </w:p>
        </w:tc>
        <w:tc>
          <w:tcPr>
            <w:tcW w:w="259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Österreich</w:t>
            </w:r>
          </w:p>
        </w:tc>
        <w:tc>
          <w:tcPr>
            <w:tcW w:w="259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Schweiz</w:t>
            </w:r>
          </w:p>
        </w:tc>
      </w:tr>
      <w:tr>
        <w:trPr>
          <w:cantSplit/>
        </w:trPr>
        <w:tc>
          <w:tcPr>
            <w:tcW w:w="18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Zeichen</w:t>
            </w:r>
          </w:p>
        </w:tc>
        <w:tc>
          <w:tcPr>
            <w:tcW w:w="259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EU-Umweltzeichen, zuständig RAL</w:t>
            </w:r>
          </w:p>
        </w:tc>
        <w:tc>
          <w:tcPr>
            <w:tcW w:w="259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Österreichisches Umweltzeichen UZ 200; EU-Umweltzeichen</w:t>
            </w:r>
          </w:p>
        </w:tc>
        <w:tc>
          <w:tcPr>
            <w:tcW w:w="259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Swisstainable, nach dem Träger kein Zertifizierungssystem (4.7)</w:t>
            </w:r>
          </w:p>
        </w:tc>
      </w:tr>
      <w:tr>
        <w:trPr>
          <w:cantSplit/>
        </w:trPr>
        <w:tc>
          <w:tcPr>
            <w:tcW w:w="18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Prüfung</w:t>
            </w:r>
          </w:p>
        </w:tc>
        <w:tc>
          <w:tcPr>
            <w:tcW w:w="259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EU-Umweltzeichen: erste Prüfung vor Ort vor der Vergabe</w:t>
            </w:r>
          </w:p>
        </w:tc>
        <w:tc>
          <w:tcPr>
            <w:tcW w:w="259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Prüferin oder Prüfer über den VKI, teils vor Ort</w:t>
            </w:r>
          </w:p>
        </w:tc>
        <w:tc>
          <w:tcPr>
            <w:tcW w:w="259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Geschäftsstelle prüft Vollständigkeit und Plausibilität</w:t>
            </w:r>
          </w:p>
        </w:tc>
      </w:tr>
      <w:tr>
        <w:trPr>
          <w:cantSplit/>
        </w:trPr>
        <w:tc>
          <w:tcPr>
            <w:tcW w:w="18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Laufzeit</w:t>
            </w:r>
          </w:p>
        </w:tc>
        <w:tc>
          <w:tcPr>
            <w:tcW w:w="259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nach der Laufzeit der Kriterien, derzeit bis 31. Dezember 2027</w:t>
            </w:r>
          </w:p>
        </w:tc>
        <w:tc>
          <w:tcPr>
            <w:tcW w:w="259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in der Regel vier Jahre</w:t>
            </w:r>
          </w:p>
        </w:tc>
        <w:tc>
          <w:tcPr>
            <w:tcW w:w="259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bis zu drei Jahre oder so lange wie der Nachweis</w:t>
            </w:r>
          </w:p>
        </w:tc>
      </w:tr>
      <w:tr>
        <w:trPr>
          <w:cantSplit/>
        </w:trPr>
        <w:tc>
          <w:tcPr>
            <w:tcW w:w="18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Gebühren</w:t>
            </w:r>
          </w:p>
        </w:tc>
        <w:tc>
          <w:tcPr>
            <w:tcW w:w="259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Gebührenordnung der zuständigen Stelle</w:t>
            </w:r>
          </w:p>
        </w:tc>
        <w:tc>
          <w:tcPr>
            <w:tcW w:w="259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Antrag und Jahresgebühr nach Bettenzahl, Tarif seit 1. März 2024</w:t>
            </w:r>
          </w:p>
        </w:tc>
        <w:tc>
          <w:tcPr>
            <w:tcW w:w="259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Kleinstbetriebe CHF 150, 125 oder 100 im Jahr je nach Level</w:t>
            </w:r>
          </w:p>
        </w:tc>
      </w:tr>
      <w:tr>
        <w:trPr>
          <w:cantSplit/>
        </w:trPr>
        <w:tc>
          <w:tcPr>
            <w:tcW w:w="18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Beratungsförderung</w:t>
            </w:r>
          </w:p>
        </w:tc>
        <w:tc>
          <w:tcPr>
            <w:tcW w:w="259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Förderung von Unternehmensberatungen für </w:t>
            </w:r>
            <w:r>
              <w:rPr>
                <w:color w:val="1A1A1A"/>
                <w:sz w:val="17"/>
                <w:szCs w:val="17"/>
              </w:rPr>
              <w:t xml:space="preserve">KMU über das BAFA</w:t>
            </w:r>
          </w:p>
        </w:tc>
        <w:tc>
          <w:tcPr>
            <w:tcW w:w="259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Landesprogramme, in Tirol ecotirol; KMU.DIGITAL</w:t>
            </w:r>
          </w:p>
        </w:tc>
        <w:tc>
          <w:tcPr>
            <w:tcW w:w="259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PEIK für Energieberatung</w:t>
            </w:r>
          </w:p>
        </w:tc>
      </w:tr>
      <w:tr>
        <w:trPr>
          <w:cantSplit/>
        </w:trPr>
        <w:tc>
          <w:tcPr>
            <w:tcW w:w="18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Wert in der Klassifizierung</w:t>
            </w:r>
          </w:p>
        </w:tc>
        <w:tc>
          <w:tcPr>
            <w:tcW w:w="259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Nr. 238: 20 Punkte</w:t>
            </w:r>
          </w:p>
        </w:tc>
        <w:tc>
          <w:tcPr>
            <w:tcW w:w="259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Nr. 238: 20 Punkte; Umweltzeichen als Beispiel genannt</w:t>
            </w:r>
          </w:p>
        </w:tc>
        <w:tc>
          <w:tcPr>
            <w:tcW w:w="259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Guesthouse Nr. 41: anerkanntes Label erfüllt die Messung</w:t>
            </w:r>
          </w:p>
        </w:tc>
      </w:tr>
    </w:tbl>
    <w:p>
      <w:r>
        <w:rPr>
          <w:b w:val="0"/>
          <w:i/>
          <w:sz w:val="18"/>
        </w:rPr>
        <w:t>Stand der Tabelle: 24. Oktober 2026. Die laufende Fassung aller DACH-Anker des Bandes, mit der geltenden Angabe und der Quelle jeder Änderung, führt die Plattform in der Datei «Band9b_Rechtsanker_DACH_laufend».</w:t>
      </w:r>
    </w:p>
    <w:p>
      <w:r>
        <w:rPr>
          <w:b w:val="0"/>
          <w:i w:val="0"/>
          <w:color w:val="8C5A2B"/>
          <w:sz w:val="17"/>
        </w:rPr>
        <w:t>Quelle: Francesco Dore, Das Steuer und die Lupe, Band 9b — Kleine Betriebe: Prüfen, wo jeder alles macht, Abschnitt 4.6. Edizioni Effedore 2026. © 2026 Francesco Dore. Zur Verwendung im eigenen Betrieb frei bearbeitbar. buecher.effedore.com</w:t>
      </w:r>
    </w:p>
    <w:sectPr w:rsidR="00893D66" w:rsidSect="00E0727B">
      <w:footerReference w:type="default" r:id="rId11"/>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9b · Arbeitsmaterial 4.6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11"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9b — Kleine Betriebe — Prüfen, wo jeder alles macht</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