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9b · Kleine Betriebe — Prüfen, wo jeder alles macht</w:t>
      </w:r>
    </w:p>
    <w:p>
      <w:pPr>
        <w:pStyle w:val="Titolo2"/>
        <w:keepNext/>
        <w:keepLines/>
        <w:spacing w:after="200" w:line="340" w:lineRule="auto"/>
      </w:pPr>
      <w:r>
        <w:t xml:space="preserve">Arbeitsmaterial zu Abschnitt 4.9</w:t>
      </w:r>
    </w:p>
    <w:p>
      <w:r>
        <w:rPr>
          <w:b/>
          <w:i w:val="0"/>
          <w:sz w:val="24"/>
        </w:rPr>
        <w:t>Die ISO-Zertifizierung eines kleinen Hauses: Ablauf und Aufwand</w:t>
      </w:r>
    </w:p>
    <w:p>
      <w:r>
        <w:rPr>
          <w:b w:val="0"/>
          <w:i/>
          <w:sz w:val="20"/>
        </w:rPr>
        <w:t>Eine Zertifizierung planen: Angebote, Akkreditierung, Stufe 1 und Stufe 2, Überwachung und die Stunden des Hauses über drei Jahre.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pPr>
              <w:spacing w:line="300" w:lineRule="auto"/>
            </w:pPr>
            <w:r>
              <w:rPr>
                <w:b/>
                <w:bCs/>
                <w:color w:val="8C5A2B"/>
                <w:sz w:val="18"/>
                <w:szCs w:val="18"/>
              </w:rPr>
              <w:t xml:space="preserve">Leitfrage </w:t>
            </w:r>
            <w:r>
              <w:rPr>
                <w:i/>
                <w:iCs/>
                <w:color w:val="1A1A1A"/>
              </w:rPr>
              <w:t>Wenn ein Kunde von Ihrem Haus ein Zertifikat verlangt: Wissen Sie, worauf Sie sich für die nächsten drei Jahre einlassen? Und woran erkennen Sie in einem Angebot, ob die Stelle Ihr System prüfen will oder es Ihnen verkaufen möchte?</w:t>
            </w:r>
          </w:p>
        </w:tc>
      </w:tr>
    </w:tbl>
    <w:p>
      <w:r>
        <w:rPr>
          <w:b w:val="0"/>
          <w:i/>
          <w:sz w:val="19"/>
        </w:rPr>
        <w:t>Dieses Blatt gibt den Werkzeugteil des Abschnitts in bearbeitbarer Form wieder: die Fragen in ihrer Reihenfolge, den Hinweis, was verlangt ist, von wem es verlangt ist und was nur Anleitung oder Methode ist, und die Zahlen der Modellrechnung zum Ersetzen durch die eigenen. Die Begründung jedes Schritts steht im Buch. Das Blatt ersetzt weder die Norm noch eine Beratung im Einzelfall.</w:t>
      </w:r>
    </w:p>
    <w:p>
      <w:pPr>
        <w:keepNext/>
        <w:spacing w:before="260" w:after="120"/>
      </w:pPr>
      <w:r>
        <w:rPr>
          <w:b/>
          <w:bCs/>
          <w:color w:val="8C5A2B"/>
          <w:sz w:val="25"/>
          <w:szCs w:val="25"/>
        </w:rPr>
        <w:t xml:space="preserve">Das Werkzeug des Abschnitts</w:t>
      </w:r>
    </w:p>
    <w:p>
      <w:pPr>
        <w:keepNext/>
        <w:spacing w:before="160" w:after="90"/>
      </w:pPr>
      <w:r>
        <w:rPr>
          <w:b/>
          <w:bCs/>
          <w:color w:val="5A5A5A"/>
          <w:sz w:val="18"/>
          <w:szCs w:val="18"/>
        </w:rPr>
        <w:t xml:space="preserve">Tabelle 2 — Der Zyklus über drei Jahre, geplant für Hallein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81"/>
        <w:gridCol w:w="3576"/>
        <w:gridCol w:w="3579"/>
      </w:tblGrid>
      <w:tr>
        <w:trPr>
          <w:tblHeader/>
        </w:trPr>
        <w:tc>
          <w:tcPr>
            <w:tcW w:w="248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Schritt</w:t>
            </w:r>
          </w:p>
        </w:tc>
        <w:tc>
          <w:tcPr>
            <w:tcW w:w="357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Wann</w:t>
            </w:r>
          </w:p>
        </w:tc>
        <w:tc>
          <w:tcPr>
            <w:tcW w:w="357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das Haus tut</w:t>
            </w:r>
          </w:p>
        </w:tc>
      </w:tr>
      <w:tr>
        <w:trPr>
          <w:cantSplit/>
        </w:trPr>
        <w:tc>
          <w:tcPr>
            <w:tcW w:w="24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Vertrag</w:t>
            </w:r>
          </w:p>
        </w:tc>
        <w:tc>
          <w:tcPr>
            <w:tcW w:w="357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Februar</w:t>
            </w:r>
          </w:p>
        </w:tc>
        <w:tc>
          <w:tcPr>
            <w:tcW w:w="357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Angebot über drei Jahre unterschreiben; Anwendungsbereich mitteilen</w:t>
            </w:r>
          </w:p>
        </w:tc>
      </w:tr>
      <w:tr>
        <w:trPr>
          <w:cantSplit/>
        </w:trPr>
        <w:tc>
          <w:tcPr>
            <w:tcW w:w="24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Internes Audit und Managementbewertung</w:t>
            </w:r>
          </w:p>
        </w:tc>
        <w:tc>
          <w:tcPr>
            <w:tcW w:w="357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April bis Juni</w:t>
            </w:r>
          </w:p>
        </w:tc>
        <w:tc>
          <w:tcPr>
            <w:tcW w:w="357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Kreuzaudit mit einem anderen Haus; Bewertung am Tisch der Familie</w:t>
            </w:r>
          </w:p>
        </w:tc>
      </w:tr>
      <w:tr>
        <w:trPr>
          <w:cantSplit/>
        </w:trPr>
        <w:tc>
          <w:tcPr>
            <w:tcW w:w="24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Stufe 1</w:t>
            </w:r>
          </w:p>
        </w:tc>
        <w:tc>
          <w:tcPr>
            <w:tcW w:w="357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September</w:t>
            </w:r>
          </w:p>
        </w:tc>
        <w:tc>
          <w:tcPr>
            <w:tcW w:w="357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Unterlagen, Anwendungsbereich, Gespräche; Schlussfolgerungen vor Stufe 2 erhalten</w:t>
            </w:r>
          </w:p>
        </w:tc>
      </w:tr>
      <w:tr>
        <w:trPr>
          <w:cantSplit/>
        </w:trPr>
        <w:tc>
          <w:tcPr>
            <w:tcW w:w="24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Stufe 2</w:t>
            </w:r>
          </w:p>
        </w:tc>
        <w:tc>
          <w:tcPr>
            <w:tcW w:w="357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Oktober</w:t>
            </w:r>
          </w:p>
        </w:tc>
        <w:tc>
          <w:tcPr>
            <w:tcW w:w="357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Betrieb zeigen, Nachweise vorlegen, Mitarbeitende befragen lassen</w:t>
            </w:r>
          </w:p>
        </w:tc>
      </w:tr>
      <w:tr>
        <w:trPr>
          <w:cantSplit/>
        </w:trPr>
        <w:tc>
          <w:tcPr>
            <w:tcW w:w="24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Entscheidung</w:t>
            </w:r>
          </w:p>
        </w:tc>
        <w:tc>
          <w:tcPr>
            <w:tcW w:w="357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November</w:t>
            </w:r>
          </w:p>
        </w:tc>
        <w:tc>
          <w:tcPr>
            <w:tcW w:w="357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Nachweise zu Nichtkonformitäten einreichen; Entscheidung durch eine andere Person</w:t>
            </w:r>
          </w:p>
        </w:tc>
      </w:tr>
      <w:tr>
        <w:trPr>
          <w:cantSplit/>
        </w:trPr>
        <w:tc>
          <w:tcPr>
            <w:tcW w:w="24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Überwachungsaudits</w:t>
            </w:r>
          </w:p>
        </w:tc>
        <w:tc>
          <w:tcPr>
            <w:tcW w:w="357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erstes spätestens zwölf Monate nach der Entscheidung; danach jedes Kalenderjahr</w:t>
            </w:r>
          </w:p>
        </w:tc>
        <w:tc>
          <w:tcPr>
            <w:tcW w:w="357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System weiterführen, Nachweise aktuell halten</w:t>
            </w:r>
          </w:p>
        </w:tc>
      </w:tr>
      <w:tr>
        <w:trPr>
          <w:cantSplit/>
        </w:trPr>
        <w:tc>
          <w:tcPr>
            <w:tcW w:w="24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Rezertifizierung</w:t>
            </w:r>
          </w:p>
        </w:tc>
        <w:tc>
          <w:tcPr>
            <w:tcW w:w="357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vor Ablauf der drei Jahre</w:t>
            </w:r>
          </w:p>
        </w:tc>
        <w:tc>
          <w:tcPr>
            <w:tcW w:w="357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Audit über das ganze System; neuer Zyklus</w:t>
            </w:r>
          </w:p>
        </w:tc>
      </w:tr>
    </w:tbl>
    <w:p>
      <w:pPr>
        <w:keepNext/>
        <w:spacing w:before="260" w:after="120"/>
      </w:pPr>
      <w:r>
        <w:rPr>
          <w:b/>
          <w:bCs/>
          <w:color w:val="8C5A2B"/>
          <w:sz w:val="25"/>
          <w:szCs w:val="25"/>
        </w:rPr>
        <w:t xml:space="preserve">Praktische Anwendung: eine Zertifizierung in sieben Schritten planen</w:t>
      </w:r>
    </w:p>
    <w:p>
      <w:pPr>
        <w:spacing w:after="140" w:line="300" w:lineRule="auto"/>
        <w:jc w:val="both"/>
      </w:pPr>
      <w:r>
        <w:rPr>
          <w:b/>
          <w:bCs/>
          <w:color w:val="1A1A1A"/>
        </w:rPr>
        <w:t xml:space="preserve">1. Beim Kunden klären, was genau verlangt ist.</w:t>
      </w:r>
      <w:r>
        <w:rPr>
          <w:color w:val="1A1A1A"/>
        </w:rPr>
        <w:t xml:space="preserve"> Welche Norm, welche Ausgabe, bis wann, für welchen Teil des Hauses? Lassen Sie sich die Anforderung schriftlich geben und fragen Sie, ob es Alternativen gibt.</w:t>
      </w:r>
    </w:p>
    <w:p>
      <w:pPr>
        <w:spacing w:after="140" w:line="300" w:lineRule="auto"/>
        <w:jc w:val="both"/>
      </w:pPr>
      <w:r>
        <w:rPr>
          <w:b/>
          <w:bCs/>
          <w:color w:val="1A1A1A"/>
        </w:rPr>
        <w:t xml:space="preserve">2. Den Anwendungsbereich festlegen.</w:t>
      </w:r>
      <w:r>
        <w:rPr>
          <w:color w:val="1A1A1A"/>
        </w:rPr>
        <w:t xml:space="preserve"> Schreiben Sie auf einer Seite, welche Leistungen und Räume das System umfasst und was ausdrücklich nicht. Lieferanten, auch aus der eigenen Familie, bleiben draußen und werden gesteuert.</w:t>
      </w:r>
    </w:p>
    <w:p>
      <w:pPr>
        <w:spacing w:after="140" w:line="300" w:lineRule="auto"/>
        <w:jc w:val="both"/>
      </w:pPr>
      <w:r>
        <w:rPr>
          <w:b/>
          <w:bCs/>
          <w:color w:val="1A1A1A"/>
        </w:rPr>
        <w:t xml:space="preserve">3. Internes Audit und Managementbewertung vor Stufe 1 durchführen.</w:t>
      </w:r>
      <w:r>
        <w:rPr>
          <w:color w:val="1A1A1A"/>
        </w:rPr>
        <w:t xml:space="preserve"> Planen Sie beides so, dass es vor dem ersten Audittag abgeschlossen ist. Ein Kreuzaudit mit einem anderen Haus kann das interne Audit sein (3.2).</w:t>
      </w:r>
    </w:p>
    <w:p>
      <w:pPr>
        <w:spacing w:after="140" w:line="300" w:lineRule="auto"/>
        <w:jc w:val="both"/>
      </w:pPr>
      <w:r>
        <w:rPr>
          <w:b/>
          <w:bCs/>
          <w:color w:val="1A1A1A"/>
        </w:rPr>
        <w:t xml:space="preserve">4. Angebote von mindestens zwei Stellen über drei Jahre einholen.</w:t>
      </w:r>
      <w:r>
        <w:rPr>
          <w:color w:val="1A1A1A"/>
        </w:rPr>
        <w:t xml:space="preserve"> Verlangen Sie alle Audittage, Reisekosten und Nebenkosten für den ganzen Zyklus. Vergleichen Sie Summen über drei Jahre, nicht über eines.</w:t>
      </w:r>
    </w:p>
    <w:p>
      <w:pPr>
        <w:spacing w:after="140" w:line="300" w:lineRule="auto"/>
        <w:jc w:val="both"/>
      </w:pPr>
      <w:r>
        <w:rPr>
          <w:b/>
          <w:bCs/>
          <w:color w:val="1A1A1A"/>
        </w:rPr>
        <w:t xml:space="preserve">5. Akkreditierung und Geltungsbereich prüfen.</w:t>
      </w:r>
      <w:r>
        <w:rPr>
          <w:color w:val="1A1A1A"/>
        </w:rPr>
        <w:t xml:space="preserve"> Lassen Sie sich zeigen, dass die Stelle für ISO 9001 akkreditiert ist und welche Ausgabe der Geltungsbereich umfasst.</w:t>
      </w:r>
    </w:p>
    <w:p>
      <w:pPr>
        <w:spacing w:after="140" w:line="300" w:lineRule="auto"/>
        <w:jc w:val="both"/>
      </w:pPr>
      <w:r>
        <w:rPr>
          <w:b/>
          <w:bCs/>
          <w:color w:val="1A1A1A"/>
        </w:rPr>
        <w:t xml:space="preserve">6. Jedes Angebot mit </w:t>
      </w:r>
      <w:r>
        <w:rPr>
          <w:b/>
          <w:bCs/>
          <w:color w:val="1A1A1A"/>
        </w:rPr>
        <w:t xml:space="preserve">Beratung ablehnen.</w:t>
      </w:r>
      <w:r>
        <w:rPr>
          <w:color w:val="1A1A1A"/>
        </w:rPr>
        <w:t xml:space="preserve"> Ein Vorbereitungstag, an dem der Auditor Unterlagen mit Ihnen erstellt, ist Beratung. Wer Hilfe beim Aufbau braucht, holt sie bei jemandem, der danach nicht prüft.</w:t>
      </w:r>
    </w:p>
    <w:p>
      <w:pPr>
        <w:spacing w:after="140" w:line="300" w:lineRule="auto"/>
        <w:jc w:val="both"/>
      </w:pPr>
      <w:r>
        <w:rPr>
          <w:b/>
          <w:bCs/>
          <w:color w:val="1A1A1A"/>
        </w:rPr>
        <w:t xml:space="preserve">7. Drei Jahre in den Kalender schreiben.</w:t>
      </w:r>
      <w:r>
        <w:rPr>
          <w:color w:val="1A1A1A"/>
        </w:rPr>
        <w:t xml:space="preserve"> Tragen Sie Stufe 1, Stufe 2, die Überwachungen und die Rezertifizierung ein, dazu Ihre eigenen Stunden davor und danach. Legen Sie die Termine in die ruhigere Zeit.</w:t>
      </w:r>
    </w:p>
    <w:p>
      <w:pPr>
        <w:keepNext/>
        <w:spacing w:before="260" w:after="120"/>
      </w:pPr>
      <w:r>
        <w:rPr>
          <w:b/>
          <w:bCs/>
          <w:color w:val="8C5A2B"/>
          <w:sz w:val="25"/>
          <w:szCs w:val="25"/>
        </w:rPr>
        <w:t xml:space="preserve">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Nachweis / Bemerkung</w:t>
            </w: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Haben wir die Anforderung des Kunden schriftlich, mit Norm, Ausgabe und Frist?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Ist unser Anwendungsbereich auf einer Seite festgelegt?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Haben vor Stufe 1 ein internes Audit und eine Managementbewertung stattgefunden?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Vergleichen wir die Angebote über drei Jahre?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Haben wir die Akkreditierung der Stelle für ISO 9001 geprüft?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Ist das gewählte Angebot frei von jeder Beratungsleistung?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Wissen wir, wer bei der Stelle über die Zertifizierung entscheidet?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p>
        </w:tc>
      </w:tr>
      <w:tr>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Stehen alle Audittermine der drei Jahre und unsere eigenen Stunden im Kalender?</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p>
        </w:tc>
      </w:tr>
    </w:tbl>
    <w:p>
      <w:pPr>
        <w:spacing w:after="140"/>
      </w:pPr>
    </w:p>
    <w:p>
      <w:pPr>
        <w:keepNext/>
        <w:spacing w:before="260" w:after="120"/>
      </w:pPr>
      <w:r>
        <w:rPr>
          <w:b/>
          <w:bCs/>
          <w:color w:val="8C5A2B"/>
          <w:sz w:val="25"/>
          <w:szCs w:val="25"/>
        </w:rPr>
        <w:t xml:space="preserve">Häufige Fehler</w:t>
      </w:r>
    </w:p>
    <w:p>
      <w:pPr>
        <w:spacing w:after="140" w:line="300" w:lineRule="auto"/>
        <w:jc w:val="both"/>
      </w:pPr>
      <w:r>
        <w:rPr>
          <w:b/>
          <w:bCs/>
          <w:color w:val="1A1A1A"/>
        </w:rPr>
        <w:t xml:space="preserve">Die Zertifizierung als einmalige Prüfung planen.</w:t>
      </w:r>
      <w:r>
        <w:rPr>
          <w:color w:val="1A1A1A"/>
        </w:rPr>
        <w:t xml:space="preserve"> Die Stunden für Überwachung und Rezertifizierung fehlen dann in den Folgejahren.</w:t>
      </w:r>
    </w:p>
    <w:p>
      <w:pPr>
        <w:spacing w:after="140" w:line="300" w:lineRule="auto"/>
        <w:jc w:val="both"/>
      </w:pPr>
      <w:r>
        <w:rPr>
          <w:b/>
          <w:bCs/>
          <w:color w:val="1A1A1A"/>
        </w:rPr>
        <w:t xml:space="preserve">Nach dem Preis des ersten Jahres wählen.</w:t>
      </w:r>
      <w:r>
        <w:rPr>
          <w:color w:val="1A1A1A"/>
        </w:rPr>
        <w:t xml:space="preserve"> Wer nur ein Jahr vergleicht, vergleicht verschiedene Dinge.</w:t>
      </w:r>
    </w:p>
    <w:p>
      <w:pPr>
        <w:spacing w:after="140" w:line="300" w:lineRule="auto"/>
        <w:jc w:val="both"/>
      </w:pPr>
      <w:r>
        <w:rPr>
          <w:b/>
          <w:bCs/>
          <w:color w:val="1A1A1A"/>
        </w:rPr>
        <w:t xml:space="preserve">Beratung von der Stelle annehmen.</w:t>
      </w:r>
      <w:r>
        <w:rPr>
          <w:color w:val="1A1A1A"/>
        </w:rPr>
        <w:t xml:space="preserve"> Das Haus kauft einen Blick von außen und bekommt einen von innen.</w:t>
      </w:r>
    </w:p>
    <w:p>
      <w:pPr>
        <w:spacing w:after="140" w:line="300" w:lineRule="auto"/>
        <w:jc w:val="both"/>
      </w:pPr>
      <w:r>
        <w:rPr>
          <w:b/>
          <w:bCs/>
          <w:color w:val="1A1A1A"/>
        </w:rPr>
        <w:t xml:space="preserve">Die Akkreditierung nicht prüfen.</w:t>
      </w:r>
      <w:r>
        <w:rPr>
          <w:color w:val="1A1A1A"/>
        </w:rPr>
        <w:t xml:space="preserve"> Der Kunde erkennt das Zertifikat vielleicht nicht an, und niemand überwacht die Stelle.</w:t>
      </w:r>
    </w:p>
    <w:p>
      <w:pPr>
        <w:spacing w:after="140" w:line="300" w:lineRule="auto"/>
        <w:jc w:val="both"/>
      </w:pPr>
      <w:r>
        <w:rPr>
          <w:b/>
          <w:bCs/>
          <w:color w:val="1A1A1A"/>
        </w:rPr>
        <w:t xml:space="preserve">Den Anwendungsbereich zu weit ziehen.</w:t>
      </w:r>
      <w:r>
        <w:rPr>
          <w:color w:val="1A1A1A"/>
        </w:rPr>
        <w:t xml:space="preserve"> Jeder zusätzliche Betrieb wird mitauditiert und mitbezahlt.</w:t>
      </w:r>
    </w:p>
    <w:p>
      <w:pPr>
        <w:spacing w:after="140" w:line="300" w:lineRule="auto"/>
        <w:jc w:val="both"/>
      </w:pPr>
      <w:r>
        <w:rPr>
          <w:b/>
          <w:bCs/>
          <w:color w:val="1A1A1A"/>
        </w:rPr>
        <w:t xml:space="preserve">Ohne internes Audit in Stufe 1 gehen.</w:t>
      </w:r>
      <w:r>
        <w:rPr>
          <w:color w:val="1A1A1A"/>
        </w:rPr>
        <w:t xml:space="preserve"> Die Stelle stellt fest, was das Haus selbst hätte finden können.</w:t>
      </w:r>
    </w:p>
    <w:p>
      <w:pPr>
        <w:keepNext/>
        <w:spacing w:before="260" w:after="120"/>
      </w:pPr>
      <w:r>
        <w:rPr>
          <w:b/>
          <w:bCs/>
          <w:color w:val="8C5A2B"/>
          <w:sz w:val="25"/>
          <w:szCs w:val="25"/>
        </w:rPr>
        <w:t xml:space="preserve">Modellrechnung</w:t>
      </w:r>
    </w:p>
    <w:p>
      <w:pPr>
        <w:keepNext/>
        <w:spacing w:before="160" w:after="90"/>
      </w:pPr>
      <w:r>
        <w:rPr>
          <w:b/>
          <w:bCs/>
          <w:color w:val="5A5A5A"/>
          <w:sz w:val="18"/>
          <w:szCs w:val="18"/>
        </w:rPr>
        <w:t xml:space="preserve">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Eigener Wert</w:t>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Lücken nach ISO 9001 schließen, internes Audit und Managementbewertung: 48 Std. × € 60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€ 2.880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einmalig; Stundenwert des Inhabers</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Stufe 1 und Stufe 2 vorbereiten und begleiten: 24 Std. × € 60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€ 1.440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Erstzertifizierung: 3 Audittage zu einem Modellsatz von € 1.200</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€ 3.600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zuzüglich Reisekosten; Auditzeit bestimmt die Stelle</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Zwei Überwachungsaudits zu je 1 Audittag</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€ 2.400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im zweiten und dritten Jahr</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Rezertifizierung: 2 Audittage</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€ 2.400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vor Ablauf der drei Jahre</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System pflegen, Überwachungen begleiten: 30 Std. je Jahr × € 60 × 3 Jahre</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€ 5.400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laufend</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
            </w:r>
          </w:p>
        </w:tc>
      </w:tr>
      <w:tr>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Umsatz mit dem Firmenkunden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€ 96.000 je Jahr</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Umsatz, nicht Gewinn</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
            </w:r>
          </w:p>
        </w:tc>
      </w:tr>
    </w:tbl>
    <w:p>
      <w:pPr>
        <w:spacing w:after="140"/>
      </w:pPr>
    </w:p>
    <w:p>
      <w:pPr>
        <w:spacing w:after="140" w:line="300" w:lineRule="auto"/>
        <w:jc w:val="both"/>
      </w:pPr>
      <w:r>
        <w:rPr>
          <w:color w:val="1A1A1A"/>
        </w:rPr>
        <w:t xml:space="preserve">Über drei Jahre kommt das Modell auf € 18.120, rund € 6.040 im Jahr; davon sind € 9.720 Stunden des Hauses und € 8.400 Audittage zum Modellsatz. Die letzte Zeile darf man davon nicht abziehen. Sie ist Umsatz und nicht Gewinn, und sie zeigt nur, was auf dem Spiel steht, wenn die Frist des Kunden verstreicht. Die Audittage und der Tagessatz sind Annahmen; die tatsächliche Auditzeit bestimmt die Stelle nach den verbindlichen Regeln, und ihr Preis steht im Angebot.</w:t>
      </w:r>
    </w:p>
    <w:p>
      <w:pPr>
        <w:keepNext/>
        <w:spacing w:before="260" w:after="120"/>
      </w:pPr>
      <w:r>
        <w:rPr>
          <w:b/>
          <w:bCs/>
          <w:color w:val="8C5A2B"/>
          <w:sz w:val="25"/>
          <w:szCs w:val="25"/>
        </w:rPr>
        <w:t xml:space="preserve">Was verlangt ist und was nur Anleitung ist</w:t>
      </w:r>
    </w:p>
    <w:p>
      <w:pPr>
        <w:keepNext/>
        <w:spacing w:before="160" w:after="90"/>
      </w:pPr>
      <w:r>
        <w:rPr>
          <w:b/>
          <w:bCs/>
          <w:color w:val="5A5A5A"/>
          <w:sz w:val="18"/>
          <w:szCs w:val="18"/>
        </w:rPr>
        <w:t xml:space="preserve">Tabelle 4 — Was verlangt ist, und was nur Anleitung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96"/>
        <w:gridCol w:w="3021"/>
        <w:gridCol w:w="3120"/>
      </w:tblGrid>
      <w:tr>
        <w:trPr>
          <w:tblHeader/>
        </w:trPr>
        <w:tc>
          <w:tcPr>
            <w:tcW w:w="3496"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Verlangt</w:t>
            </w:r>
          </w:p>
        </w:tc>
        <w:tc>
          <w:tcPr>
            <w:tcW w:w="302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Was es im kleinen Haus belegt</w:t>
            </w:r>
          </w:p>
        </w:tc>
        <w:tc>
          <w:tcPr>
            <w:tcW w:w="312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Nur Leitfaden oder Methode</w:t>
            </w:r>
          </w:p>
        </w:tc>
      </w:tr>
      <w:tr>
        <w:trPr>
          <w:cantSplit/>
        </w:trPr>
        <w:tc>
          <w:tcPr>
            <w:tcW w:w="349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Stelle: Erstaudit in zwei Stufen (ISO/IEC 17021-1, 9.3.1)</w:t>
            </w:r>
          </w:p>
        </w:tc>
        <w:tc>
          <w:tcPr>
            <w:tcW w:w="302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Termine im Kalender; Unterlagen für Stufe 1</w:t>
            </w:r>
          </w:p>
        </w:tc>
        <w:tc>
          <w:tcPr>
            <w:tcW w:w="3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Handbuch der ISO: System einige Monate laufen lassen</w:t>
            </w:r>
          </w:p>
        </w:tc>
      </w:tr>
      <w:tr>
        <w:trPr>
          <w:cantSplit/>
        </w:trPr>
        <w:tc>
          <w:tcPr>
            <w:tcW w:w="349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Stelle: Überwachung jedes Kalenderjahr, erste spätestens nach zwölf Monaten</w:t>
            </w:r>
          </w:p>
        </w:tc>
        <w:tc>
          <w:tcPr>
            <w:tcW w:w="302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Termine im Monatsblatt für drei Jahre</w:t>
            </w:r>
          </w:p>
        </w:tc>
        <w:tc>
          <w:tcPr>
            <w:tcW w:w="3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Methode: Überwachung vor der Hochsaison legen</w:t>
            </w:r>
          </w:p>
        </w:tc>
      </w:tr>
      <w:tr>
        <w:trPr>
          <w:cantSplit/>
        </w:trPr>
        <w:tc>
          <w:tcPr>
            <w:tcW w:w="349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Stelle: keine Managementsystem-Beratung (5.2.5)</w:t>
            </w:r>
          </w:p>
        </w:tc>
        <w:tc>
          <w:tcPr>
            <w:tcW w:w="302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Angebot ohne Beratungsleistung</w:t>
            </w:r>
          </w:p>
        </w:tc>
        <w:tc>
          <w:tcPr>
            <w:tcW w:w="3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Methode: Angebot Zeile für Zeile lesen</w:t>
            </w:r>
          </w:p>
        </w:tc>
      </w:tr>
      <w:tr>
        <w:trPr>
          <w:cantSplit/>
        </w:trPr>
        <w:tc>
          <w:tcPr>
            <w:tcW w:w="349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Haus: Anwendungsbereich festlegen (4.3)</w:t>
            </w:r>
          </w:p>
        </w:tc>
        <w:tc>
          <w:tcPr>
            <w:tcW w:w="302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eine Seite: Hotel, ohne Bäckerei</w:t>
            </w:r>
          </w:p>
        </w:tc>
        <w:tc>
          <w:tcPr>
            <w:tcW w:w="3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keine</w:t>
            </w:r>
          </w:p>
        </w:tc>
      </w:tr>
      <w:tr>
        <w:trPr>
          <w:cantSplit/>
        </w:trPr>
        <w:tc>
          <w:tcPr>
            <w:tcW w:w="3496"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Haus: externe Anbieter steuern (8.1)</w:t>
            </w:r>
          </w:p>
        </w:tc>
        <w:tc>
          <w:tcPr>
            <w:tcW w:w="302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Lieferantenliste mit Anforderungen an die Bäckerei</w:t>
            </w:r>
          </w:p>
        </w:tc>
        <w:tc>
          <w:tcPr>
            <w:tcW w:w="3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Band 9a, 2.11</w:t>
            </w:r>
          </w:p>
        </w:tc>
      </w:tr>
      <w:tr>
        <w:trPr>
          <w:cantSplit/>
        </w:trPr>
        <w:tc>
          <w:tcPr>
            <w:tcW w:w="3496"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Haus: internes Audit (9.2) und Managementbewertung (9.3)</w:t>
            </w:r>
          </w:p>
        </w:tc>
        <w:tc>
          <w:tcPr>
            <w:tcW w:w="302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Kreuzaudit-Bericht; Notiz der Bewertung</w:t>
            </w:r>
          </w:p>
        </w:tc>
        <w:tc>
          <w:tcPr>
            <w:tcW w:w="3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Handbuch der ISO: mindestens eine Runde vor Stufe 1</w:t>
            </w:r>
          </w:p>
        </w:tc>
      </w:tr>
    </w:tbl>
    <w:p>
      <w:pPr>
        <w:keepNext/>
        <w:spacing w:before="260" w:after="120"/>
      </w:pPr>
      <w:r>
        <w:rPr>
          <w:b/>
          <w:bCs/>
          <w:color w:val="8C5A2B"/>
          <w:sz w:val="25"/>
          <w:szCs w:val="25"/>
        </w:rPr>
        <w:t xml:space="preserve">Der Rahmen in Deutschland, Österreich und der Schweiz</w:t>
      </w:r>
    </w:p>
    <w:p>
      <w:pPr>
        <w:keepNext/>
        <w:spacing w:before="160" w:after="90"/>
      </w:pPr>
      <w:r>
        <w:rPr>
          <w:b/>
          <w:bCs/>
          <w:color w:val="5A5A5A"/>
          <w:sz w:val="18"/>
          <w:szCs w:val="18"/>
        </w:rPr>
        <w:t xml:space="preserve">Tabelle 5 — DACH-Anker: Akkreditierung und Regeln für Zertifizierungsstellen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75"/>
        <w:gridCol w:w="2990"/>
        <w:gridCol w:w="2990"/>
        <w:gridCol w:w="1581"/>
      </w:tblGrid>
      <w:tr>
        <w:trPr>
          <w:tblHeader/>
        </w:trPr>
        <w:tc>
          <w:tcPr>
            <w:tcW w:w="207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Ebene</w:t>
            </w:r>
          </w:p>
        </w:tc>
        <w:tc>
          <w:tcPr>
            <w:tcW w:w="299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Deutschland</w:t>
            </w:r>
          </w:p>
        </w:tc>
        <w:tc>
          <w:tcPr>
            <w:tcW w:w="299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Österreich</w:t>
            </w:r>
          </w:p>
        </w:tc>
        <w:tc>
          <w:tcPr>
            <w:tcW w:w="158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pPr>
              <w:spacing w:line="260" w:lineRule="auto"/>
            </w:pPr>
            <w:r>
              <w:rPr>
                <w:b/>
                <w:bCs/>
                <w:color w:val="FFFFFF"/>
                <w:sz w:val="17"/>
                <w:szCs w:val="17"/>
              </w:rPr>
              <w:t xml:space="preserve">Schweiz</w:t>
            </w:r>
          </w:p>
        </w:tc>
      </w:tr>
      <w:tr>
        <w:trPr>
          <w:cantSplit/>
        </w:trPr>
        <w:tc>
          <w:tcPr>
            <w:tcW w:w="207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Akkreditierungsstelle</w:t>
            </w:r>
          </w:p>
        </w:tc>
        <w:tc>
          <w:tcPr>
            <w:tcW w:w="299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DAkkS</w:t>
            </w:r>
          </w:p>
        </w:tc>
        <w:tc>
          <w:tcPr>
            <w:tcW w:w="299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Akkreditierung Austria, seit 24. Oktober 2025 Mitglied der Global Accreditation Cooperation</w:t>
            </w:r>
          </w:p>
        </w:tc>
        <w:tc>
          <w:tcPr>
            <w:tcW w:w="15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SAS, Auftritt über das SECO</w:t>
            </w:r>
          </w:p>
        </w:tc>
      </w:tr>
      <w:tr>
        <w:trPr>
          <w:cantSplit/>
        </w:trPr>
        <w:tc>
          <w:tcPr>
            <w:tcW w:w="207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Regeln für Zertifizierungsstellen</w:t>
            </w:r>
          </w:p>
        </w:tc>
        <w:tc>
          <w:tcPr>
            <w:tcW w:w="29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DIN EN ISO/IEC 17021-1:2015</w:t>
            </w:r>
          </w:p>
        </w:tc>
        <w:tc>
          <w:tcPr>
            <w:tcW w:w="29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ISO/IEC 17021-1:2015; Leitfaden L08 zur Anwendung, gültig seit 19. März 2025</w:t>
            </w:r>
          </w:p>
        </w:tc>
        <w:tc>
          <w:tcPr>
            <w:tcW w:w="15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ISO/IEC 17021-1:2015</w:t>
            </w:r>
          </w:p>
        </w:tc>
      </w:tr>
      <w:tr>
        <w:trPr>
          <w:cantSplit/>
        </w:trPr>
        <w:tc>
          <w:tcPr>
            <w:tcW w:w="207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Internationale Dokumente</w:t>
            </w:r>
          </w:p>
        </w:tc>
        <w:tc>
          <w:tcPr>
            <w:tcW w:w="299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IAF Mandatory Documents gelten bis zum Ersatz durch die Global Accreditation Cooperation</w:t>
            </w:r>
          </w:p>
        </w:tc>
        <w:tc>
          <w:tcPr>
            <w:tcW w:w="299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ebenso</w:t>
            </w:r>
          </w:p>
        </w:tc>
        <w:tc>
          <w:tcPr>
            <w:tcW w:w="15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ebenso</w:t>
            </w:r>
          </w:p>
        </w:tc>
      </w:tr>
      <w:tr>
        <w:trPr>
          <w:cantSplit/>
        </w:trPr>
        <w:tc>
          <w:tcPr>
            <w:tcW w:w="207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b/>
                <w:bCs/>
                <w:color w:val="1A1A1A"/>
                <w:sz w:val="17"/>
                <w:szCs w:val="17"/>
              </w:rPr>
              <w:t xml:space="preserve">Übergang auf ISO 9001:2026</w:t>
            </w:r>
          </w:p>
        </w:tc>
        <w:tc>
          <w:tcPr>
            <w:tcW w:w="29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nach den Regeln für Zertifizierungsstellen; Frist der eigenen Stelle erfragen</w:t>
            </w:r>
          </w:p>
        </w:tc>
        <w:tc>
          <w:tcPr>
            <w:tcW w:w="299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ebenso</w:t>
            </w:r>
          </w:p>
        </w:tc>
        <w:tc>
          <w:tcPr>
            <w:tcW w:w="158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pPr>
              <w:spacing w:line="260" w:lineRule="auto"/>
            </w:pPr>
            <w:r>
              <w:rPr>
                <w:color w:val="1A1A1A"/>
                <w:sz w:val="17"/>
                <w:szCs w:val="17"/>
              </w:rPr>
              <w:t xml:space="preserve">ebenso</w:t>
            </w:r>
          </w:p>
        </w:tc>
      </w:tr>
      <w:tr>
        <w:trPr>
          <w:cantSplit/>
        </w:trPr>
        <w:tc>
          <w:tcPr>
            <w:tcW w:w="207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b/>
                <w:bCs/>
                <w:color w:val="1A1A1A"/>
                <w:sz w:val="17"/>
                <w:szCs w:val="17"/>
              </w:rPr>
              <w:t xml:space="preserve">Gesetzliche Pflicht zur Zertifizierung</w:t>
            </w:r>
          </w:p>
        </w:tc>
        <w:tc>
          <w:tcPr>
            <w:tcW w:w="299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keine allgemeine; einzelne Gesetze knüpfen Pflichten an andere Merkmale, etwa § 8 EnEfG</w:t>
            </w:r>
          </w:p>
        </w:tc>
        <w:tc>
          <w:tcPr>
            <w:tcW w:w="299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keine allgemeine</w:t>
            </w:r>
          </w:p>
        </w:tc>
        <w:tc>
          <w:tcPr>
            <w:tcW w:w="158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pPr>
              <w:spacing w:line="260" w:lineRule="auto"/>
            </w:pPr>
            <w:r>
              <w:rPr>
                <w:color w:val="1A1A1A"/>
                <w:sz w:val="17"/>
                <w:szCs w:val="17"/>
              </w:rPr>
              <w:t xml:space="preserve">keine allgemeine</w:t>
            </w:r>
          </w:p>
        </w:tc>
      </w:tr>
    </w:tbl>
    <w:p>
      <w:r>
        <w:rPr>
          <w:b w:val="0"/>
          <w:i/>
          <w:sz w:val="18"/>
        </w:rPr>
        <w:t>Stand der Tabelle: 24. Oktober 2026. Die laufende Fassung aller DACH-Anker des Bandes, mit der geltenden Angabe und der Quelle jeder Änderung, führt die Plattform in der Datei «Band9b_Rechtsanker_DACH_laufend».</w:t>
      </w:r>
    </w:p>
    <w:p>
      <w:r>
        <w:rPr>
          <w:b w:val="0"/>
          <w:i w:val="0"/>
          <w:color w:val="8C5A2B"/>
          <w:sz w:val="17"/>
        </w:rPr>
        <w:t>Quelle: Francesco Dore, Das Steuer und die Lupe, Band 9b — Kleine Betriebe: Prüfen, wo jeder alles macht, Abschnitt 4.9. Edizioni Effedore 2026. © 2026 Francesco Dore. Zur Verwendung im eigenen Betrieb frei bearbeitbar. buecher.effedore.com</w:t>
      </w:r>
    </w:p>
    <w:sectPr w:rsidR="00893D66" w:rsidSect="00E0727B">
      <w:footerReference w:type="default" r:id="rId11"/>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9b · Arbeitsmaterial 4.9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11"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9b — Kleine Betriebe — Prüfen, wo jeder alles macht</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