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7"/>
        </w:rPr>
        <w:t>VORLAGE ZU DEN ABSCHNITTEN 1.8 UND 2.9 DES BANDES 3A (MIT BEZUG ZU 1.7, 2.12, 2.13 UND 2.15)</w:t>
      </w:r>
    </w:p>
    <w:p>
      <w:pPr>
        <w:spacing w:after="60"/>
        <w:pBdr>
          <w:bottom w:val="single" w:sz="8" w:space="4" w:color="C9BBA6"/>
        </w:pBdr>
      </w:pPr>
      <w:r>
        <w:rPr>
          <w:rFonts w:ascii="Aptos" w:hAnsi="Aptos" w:cs="Aptos" w:eastAsia="Aptos"/>
          <w:b/>
          <w:color w:val="8C5A2B"/>
          <w:sz w:val="42"/>
        </w:rPr>
        <w:t>Front-Test-Werkzeuge</w:t>
      </w:r>
    </w:p>
    <w:p>
      <w:pPr>
        <w:spacing w:before="80" w:after="200"/>
      </w:pPr>
      <w:r>
        <w:rPr>
          <w:rFonts w:ascii="Aptos" w:hAnsi="Aptos" w:cs="Aptos" w:eastAsia="Aptos"/>
          <w:i/>
          <w:color w:val="7A6A55"/>
          <w:sz w:val="21"/>
        </w:rPr>
        <w:t>Praxisleitfaden und Beobachtungsbögen zur Diagnose von Fassadensystemen im Arbeitsschutz: das gelebte gegen das geschriebene System, prädiktive Sicherheits-KPI, Begehung statt Rückschau</w:t>
      </w:r>
    </w:p>
    <w:tbl>
      <w:tblPr>
        <w:tblW w:type="auto" w:w="0"/>
        <w:tblLayout w:type="fixed"/>
        <w:tblLook w:firstColumn="1" w:firstRow="1" w:lastColumn="0" w:lastRow="0" w:noHBand="0" w:noVBand="1" w:val="04A0"/>
      </w:tblPr>
      <w:tblGrid>
        <w:gridCol w:w="2523"/>
        <w:gridCol w:w="2523"/>
        <w:gridCol w:w="2523"/>
        <w:gridCol w:w="2523"/>
        <w:gridCol w:w="2523"/>
        <w:gridCol w:w="2523"/>
      </w:tblGrid>
      <w:tr>
        <w:tc>
          <w:tcPr>
            <w:tcW w:type="dxa" w:w="1474"/>
          </w:tcPr>
          <w:p>
            <w:pPr>
              <w:spacing w:after="20"/>
            </w:pPr>
            <w:r>
              <w:rPr>
                <w:rFonts w:ascii="Aptos" w:hAnsi="Aptos" w:cs="Aptos" w:eastAsia="Aptos"/>
                <w:b/>
                <w:i w:val="0"/>
                <w:color w:val="8C5A2B"/>
                <w:sz w:val="19"/>
              </w:rPr>
              <w:t>Haus / Betrieb</w:t>
            </w:r>
          </w:p>
        </w:tc>
        <w:tc>
          <w:tcPr>
            <w:tcW w:type="dxa" w:w="1928"/>
            <w:tcBorders>
              <w:bottom w:val="single" w:sz="6" w:space="0" w:color="C9BBA6"/>
            </w:tcBorders>
          </w:tcPr>
          <w:p>
            <w:pPr>
              <w:spacing w:after="20"/>
            </w:pPr>
          </w:p>
        </w:tc>
        <w:tc>
          <w:tcPr>
            <w:tcW w:type="dxa" w:w="1474"/>
          </w:tcPr>
          <w:p>
            <w:pPr>
              <w:spacing w:after="20"/>
            </w:pPr>
            <w:r>
              <w:rPr>
                <w:rFonts w:ascii="Aptos" w:hAnsi="Aptos" w:cs="Aptos" w:eastAsia="Aptos"/>
                <w:b/>
                <w:i w:val="0"/>
                <w:color w:val="8C5A2B"/>
                <w:sz w:val="19"/>
              </w:rPr>
              <w:t>Abteilung / Bereich</w:t>
            </w:r>
          </w:p>
        </w:tc>
        <w:tc>
          <w:tcPr>
            <w:tcW w:type="dxa" w:w="1928"/>
            <w:tcBorders>
              <w:bottom w:val="single" w:sz="6" w:space="0" w:color="C9BBA6"/>
            </w:tcBorders>
          </w:tcPr>
          <w:p>
            <w:pPr>
              <w:spacing w:after="20"/>
            </w:pPr>
          </w:p>
        </w:tc>
        <w:tc>
          <w:tcPr>
            <w:tcW w:type="dxa" w:w="1474"/>
          </w:tcPr>
          <w:p>
            <w:pPr>
              <w:spacing w:after="20"/>
            </w:pPr>
            <w:r>
              <w:rPr>
                <w:rFonts w:ascii="Aptos" w:hAnsi="Aptos" w:cs="Aptos" w:eastAsia="Aptos"/>
                <w:b/>
                <w:i w:val="0"/>
                <w:color w:val="8C5A2B"/>
                <w:sz w:val="19"/>
              </w:rPr>
              <w:t>Datum</w:t>
            </w:r>
          </w:p>
        </w:tc>
        <w:tc>
          <w:tcPr>
            <w:tcW w:type="dxa" w:w="1928"/>
            <w:tcBorders>
              <w:bottom w:val="single" w:sz="6" w:space="0" w:color="C9BBA6"/>
            </w:tcBorders>
          </w:tcPr>
          <w:p>
            <w:pPr>
              <w:spacing w:after="20"/>
            </w:pPr>
          </w:p>
        </w:tc>
      </w:tr>
      <w:tr>
        <w:tc>
          <w:tcPr>
            <w:tcW w:type="dxa" w:w="1474"/>
          </w:tcPr>
          <w:p>
            <w:pPr>
              <w:spacing w:after="20"/>
            </w:pPr>
            <w:r>
              <w:rPr>
                <w:rFonts w:ascii="Aptos" w:hAnsi="Aptos" w:cs="Aptos" w:eastAsia="Aptos"/>
                <w:b/>
                <w:i w:val="0"/>
                <w:color w:val="8C5A2B"/>
                <w:sz w:val="19"/>
              </w:rPr>
              <w:t>Beobachter/in</w:t>
            </w:r>
          </w:p>
        </w:tc>
        <w:tc>
          <w:tcPr>
            <w:tcW w:type="dxa" w:w="1928"/>
            <w:tcBorders>
              <w:bottom w:val="single" w:sz="6" w:space="0" w:color="C9BBA6"/>
            </w:tcBorders>
          </w:tcPr>
          <w:p>
            <w:pPr>
              <w:spacing w:after="20"/>
            </w:pPr>
          </w:p>
        </w:tc>
        <w:tc>
          <w:tcPr>
            <w:tcW w:type="dxa" w:w="1474"/>
          </w:tcPr>
          <w:p>
            <w:pPr>
              <w:spacing w:after="20"/>
            </w:pPr>
            <w:r>
              <w:rPr>
                <w:rFonts w:ascii="Aptos" w:hAnsi="Aptos" w:cs="Aptos" w:eastAsia="Aptos"/>
                <w:b/>
                <w:i w:val="0"/>
                <w:color w:val="8C5A2B"/>
                <w:sz w:val="19"/>
              </w:rPr>
              <w:t>Gegenleser/in aus der Front</w:t>
            </w:r>
          </w:p>
        </w:tc>
        <w:tc>
          <w:tcPr>
            <w:tcW w:type="dxa" w:w="1928"/>
            <w:tcBorders>
              <w:bottom w:val="single" w:sz="6" w:space="0" w:color="C9BBA6"/>
            </w:tcBorders>
          </w:tcPr>
          <w:p>
            <w:pPr>
              <w:spacing w:after="20"/>
            </w:pPr>
          </w:p>
        </w:tc>
        <w:tc>
          <w:tcPr>
            <w:tcW w:type="dxa" w:w="1474"/>
          </w:tcPr>
          <w:p>
            <w:pPr>
              <w:spacing w:after="20"/>
            </w:pPr>
            <w:r>
              <w:rPr>
                <w:rFonts w:ascii="Aptos" w:hAnsi="Aptos" w:cs="Aptos" w:eastAsia="Aptos"/>
                <w:b/>
                <w:i w:val="0"/>
                <w:color w:val="8C5A2B"/>
                <w:sz w:val="19"/>
              </w:rPr>
              <w:t>Seite der Arbeit (Schicht)</w:t>
            </w:r>
          </w:p>
        </w:tc>
        <w:tc>
          <w:tcPr>
            <w:tcW w:type="dxa" w:w="1928"/>
            <w:tcBorders>
              <w:bottom w:val="single" w:sz="6" w:space="0" w:color="C9BBA6"/>
            </w:tcBorders>
          </w:tcPr>
          <w:p>
            <w:pPr>
              <w:spacing w:after="20"/>
            </w:pPr>
          </w:p>
        </w:tc>
      </w:tr>
    </w:tbl>
    <w:p>
      <w:pPr>
        <w:spacing w:after="40"/>
      </w:pPr>
    </w:p>
    <w:p>
      <w:pPr>
        <w:keepNext/>
        <w:spacing w:before="160" w:after="60"/>
      </w:pPr>
      <w:r>
        <w:rPr>
          <w:rFonts w:ascii="Aptos" w:hAnsi="Aptos" w:cs="Aptos" w:eastAsia="Aptos"/>
          <w:b/>
          <w:color w:val="8C5A2B"/>
          <w:sz w:val="23"/>
        </w:rPr>
        <w:t>Wozu dieses Werkzeug</w:t>
      </w:r>
    </w:p>
    <w:p>
      <w:pPr>
        <w:spacing w:after="60"/>
        <w:jc w:val="both"/>
      </w:pPr>
      <w:r>
        <w:rPr>
          <w:rFonts w:ascii="Aptos" w:hAnsi="Aptos" w:cs="Aptos" w:eastAsia="Aptos"/>
          <w:b w:val="0"/>
          <w:i w:val="0"/>
          <w:sz w:val="19"/>
        </w:rPr>
        <w:t>Das Buch unterscheidet durchgehend den Schein von der Wirklichkeit: Das Dokument ist nicht die Tat, das Verkündete nicht das Gelebte (2.15). Ein Fassadensystem im Arbeitsschutz ist ein System, das fürs Audit poliert ist – „die Fassadensicherheit, die fürs Audit poliert wird“ (Vorwort) –, ein Vorführsystem, „für das Audit gebaut, nicht für den Betrieb“, das „formelle Evidenz und keinen realen Schutz“ erzeugt (Nachwort). Nach einem Unfall fragt das Recht nicht, ob ein System bestand, sondern ob es gelebt wurde (1.7). Die drei Bögen dieser Vorlage machen den Abstand sichtbar, bevor ein Unfall es tut.</w:t>
      </w:r>
    </w:p>
    <w:p>
      <w:pPr>
        <w:spacing w:after="80"/>
        <w:jc w:val="both"/>
      </w:pPr>
      <w:r>
        <w:rPr>
          <w:rFonts w:ascii="Aptos" w:hAnsi="Aptos" w:cs="Aptos" w:eastAsia="Aptos"/>
          <w:b w:val="0"/>
          <w:i w:val="0"/>
          <w:sz w:val="19"/>
        </w:rPr>
        <w:t>„Front“ meint hier die Beschäftigten, die täglich an der Gefahr stehen: „Die Spitze hält die Rechenschaft, die Front hält das Wissen“ (1.4). „Front-Test“ ist die Bezeichnung dieses Werkzeugs auf der Plattform; das Buch beschreibt keine Methode dieses Namens, sondern die Unterscheidung von Schein und Wirklichkeit, auf der die Bögen beruhen.</w:t>
      </w:r>
    </w:p>
    <w:tbl>
      <w:tblPr>
        <w:tblW w:type="auto" w:w="0"/>
        <w:jc w:val="center"/>
        <w:tblLayout w:type="fixed"/>
        <w:tblLook w:firstColumn="1" w:firstRow="1" w:lastColumn="0" w:lastRow="0" w:noHBand="0" w:noVBand="1" w:val="04A0"/>
      </w:tblPr>
      <w:tblGrid>
        <w:gridCol w:w="3288"/>
        <w:gridCol w:w="4819"/>
        <w:gridCol w:w="5443"/>
        <w:gridCol w:w="1587"/>
      </w:tblGrid>
      <w:tr>
        <w:trPr>
          <w:tblHeader w:val="true"/>
        </w:trPr>
        <w:tc>
          <w:tcPr>
            <w:tcW w:type="dxa" w:w="328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Bogen</w:t>
            </w:r>
          </w:p>
        </w:tc>
        <w:tc>
          <w:tcPr>
            <w:tcW w:type="dxa" w:w="481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Was Sie hier tun</w:t>
            </w:r>
          </w:p>
        </w:tc>
        <w:tc>
          <w:tcPr>
            <w:tcW w:type="dxa" w:w="5443"/>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Leitfrage des Buches</w:t>
            </w:r>
          </w:p>
        </w:tc>
        <w:tc>
          <w:tcPr>
            <w:tcW w:type="dxa" w:w="158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Grundlage</w:t>
            </w:r>
          </w:p>
        </w:tc>
      </w:tr>
      <w:tr>
        <w:trPr>
          <w:cantSplit w:val="true"/>
        </w:trPr>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A  Gelebtes gegen geschriebenes System</w:t>
            </w:r>
          </w:p>
        </w:tc>
        <w:tc>
          <w:tcPr>
            <w:tcW w:type="dxa" w:w="481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Prozess für Prozess: Was sagt das Papier, was zeigt die Abteilung, wie groß ist der Abstand, was belegt es?</w:t>
            </w:r>
          </w:p>
        </w:tc>
        <w:tc>
          <w:tcPr>
            <w:tcW w:type="dxa" w:w="544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sz w:val="17"/>
              </w:rPr>
              <w:t>„Nach dem Unfall fragt das Recht nicht, ob ein Ordner bestand, sondern ob eine Pflicht gelebt wurde.“</w:t>
            </w:r>
            <w:r>
              <w:rPr>
                <w:rFonts w:ascii="Aptos" w:hAnsi="Aptos" w:cs="Aptos" w:eastAsia="Aptos"/>
                <w:b w:val="0"/>
                <w:i w:val="0"/>
                <w:color w:val="8C5A2B"/>
                <w:sz w:val="17"/>
              </w:rPr>
              <w:t xml:space="preserve">  (1.7)</w:t>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1.7, 2.1–2.14, 2.15</w:t>
            </w:r>
          </w:p>
        </w:tc>
      </w:tr>
      <w:tr>
        <w:trPr>
          <w:cantSplit w:val="true"/>
        </w:trPr>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B  Prädiktive Sicherheits-KPI</w:t>
            </w:r>
          </w:p>
        </w:tc>
        <w:tc>
          <w:tcPr>
            <w:tcW w:type="dxa" w:w="481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Das kleine Set vorausschauender Indikatoren des Hauses: Definition, Quelle, Intervall, Schwellenwert (Festlegung des Hauses), Trend.</w:t>
            </w:r>
          </w:p>
        </w:tc>
        <w:tc>
          <w:tcPr>
            <w:tcW w:type="dxa" w:w="544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sz w:val="17"/>
              </w:rPr>
              <w:t>„Misst man die Sicherheit eines Hauses an den Unfällen, die geschahen – oder an den Zeichen, die den nächsten ankündigen, bevor er geschieht?“</w:t>
            </w:r>
            <w:r>
              <w:rPr>
                <w:rFonts w:ascii="Aptos" w:hAnsi="Aptos" w:cs="Aptos" w:eastAsia="Aptos"/>
                <w:b w:val="0"/>
                <w:i w:val="0"/>
                <w:color w:val="8C5A2B"/>
                <w:sz w:val="17"/>
              </w:rPr>
              <w:t xml:space="preserve">  (1.8)</w:t>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1.8, 1.1, 1.4, 1.5, 2.9</w:t>
            </w:r>
          </w:p>
        </w:tc>
      </w:tr>
      <w:tr>
        <w:trPr>
          <w:cantSplit w:val="true"/>
        </w:trPr>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17"/>
              </w:rPr>
              <w:t>C  Begehung statt Rückschau</w:t>
            </w:r>
          </w:p>
        </w:tc>
        <w:tc>
          <w:tcPr>
            <w:tcW w:type="dxa" w:w="481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Kurzbogen für den Rundgang mit frischem Blick; die Befunde gehören in das Begehungsprotokoll.</w:t>
            </w:r>
          </w:p>
        </w:tc>
        <w:tc>
          <w:tcPr>
            <w:tcW w:type="dxa" w:w="544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sz w:val="17"/>
              </w:rPr>
              <w:t>„Schaut man in den Rückspiegel der Unfallzahl – oder durch die Windschutzscheibe auf die Gefahr, die noch kommt?“</w:t>
            </w:r>
            <w:r>
              <w:rPr>
                <w:rFonts w:ascii="Aptos" w:hAnsi="Aptos" w:cs="Aptos" w:eastAsia="Aptos"/>
                <w:b w:val="0"/>
                <w:i w:val="0"/>
                <w:color w:val="8C5A2B"/>
                <w:sz w:val="17"/>
              </w:rPr>
              <w:t xml:space="preserve">  (2.9)</w:t>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2.9</w:t>
            </w:r>
          </w:p>
        </w:tc>
      </w:tr>
    </w:tbl>
    <w:p>
      <w:r>
        <w:rPr>
          <w:rFonts w:ascii="Aptos" w:hAnsi="Aptos" w:cs="Aptos" w:eastAsia="Aptos"/>
          <w:b w:val="0"/>
          <w:i/>
          <w:color w:val="7A6A55"/>
          <w:sz w:val="17"/>
        </w:rPr>
        <w:t>Die Leitfrage zu Bogen B lautet im Buch „… eines Hotels …“; hier auf „eines Hauses“ gekürzt.</w:t>
      </w:r>
    </w:p>
    <w:p>
      <w:pPr>
        <w:spacing w:after="40"/>
      </w:pPr>
    </w:p>
    <w:tbl>
      <w:tblPr>
        <w:tblW w:type="auto" w:w="0"/>
        <w:jc w:val="center"/>
        <w:tblLook w:firstColumn="1" w:firstRow="1" w:lastColumn="0" w:lastRow="0" w:noHBand="0" w:noVBand="1" w:val="04A0"/>
      </w:tblPr>
      <w:tblGrid>
        <w:gridCol w:w="15138"/>
      </w:tblGrid>
      <w:tr>
        <w:tc>
          <w:tcPr>
            <w:tcW w:type="dxa" w:w="15138"/>
            <w:shd w:val="clear" w:color="auto" w:fill="EFE7DC"/>
            <w:tcBorders>
              <w:left w:val="single" w:sz="24" w:space="0" w:color="8C5A2B"/>
            </w:tcBorders>
          </w:tcPr>
          <w:p>
            <w:pPr>
              <w:spacing w:after="40"/>
            </w:pPr>
            <w:r>
              <w:rPr>
                <w:rFonts w:ascii="Aptos" w:hAnsi="Aptos" w:cs="Aptos" w:eastAsia="Aptos"/>
                <w:b/>
                <w:i w:val="0"/>
                <w:color w:val="8C5A2B"/>
                <w:sz w:val="21"/>
              </w:rPr>
              <w:t>Fünf Spielregeln</w:t>
            </w:r>
          </w:p>
          <w:p>
            <w:pPr>
              <w:spacing w:after="40"/>
            </w:pPr>
            <w:r>
              <w:rPr>
                <w:rFonts w:ascii="Aptos" w:hAnsi="Aptos" w:cs="Aptos" w:eastAsia="Aptos"/>
                <w:b w:val="0"/>
                <w:i w:val="0"/>
                <w:sz w:val="20"/>
              </w:rPr>
              <w:t>1  Offen und gemeinsam, nicht heimlich: Gehen Sie mit Beschäftigten der Abteilung; „eine überwachungsgestützte Kulturmessung untergrübe das Vertrauen“ (2.13).    2  Ursache, nicht Schuldiger: Tragen Sie Lücken ein, keine Personen; Melden bleibt straffrei (2.8).    3  Gehen ist Sehen: Tragen Sie nur ein, was Sie gesehen oder sich haben zeigen lassen (2.9).    4  Wechselnder Beobachter, frischer Blick (2.9).    5  Sehen ohne Beheben ist Theater: Jede Zeile mit deutlichem Abstand erhält Maßnahme, Verantwortliche und Termin – festgelegt vom Haus (2.9).</w:t>
            </w:r>
          </w:p>
        </w:tc>
      </w:tr>
    </w:tbl>
    <w:p>
      <w:pPr>
        <w:spacing w:after="40"/>
      </w:pPr>
    </w:p>
    <w:p>
      <w:pPr>
        <w:keepNext/>
        <w:pageBreakBefore/>
        <w:spacing w:before="280" w:after="80"/>
        <w:pBdr>
          <w:bottom w:val="single" w:sz="6" w:space="2" w:color="C9BBA6"/>
        </w:pBdr>
      </w:pPr>
      <w:r>
        <w:rPr>
          <w:rFonts w:ascii="Aptos" w:hAnsi="Aptos" w:cs="Aptos" w:eastAsia="Aptos"/>
          <w:b/>
          <w:color w:val="8C5A2B"/>
          <w:sz w:val="28"/>
        </w:rPr>
        <w:t>Wie liest man einen Front-Test?</w:t>
      </w:r>
    </w:p>
    <w:tbl>
      <w:tblPr>
        <w:tblW w:type="auto" w:w="0"/>
        <w:jc w:val="center"/>
        <w:tblLayout w:type="fixed"/>
        <w:tblLook w:firstColumn="1" w:firstRow="1" w:lastColumn="0" w:lastRow="0" w:noHBand="0" w:noVBand="1" w:val="04A0"/>
      </w:tblPr>
      <w:tblGrid>
        <w:gridCol w:w="7143"/>
        <w:gridCol w:w="7937"/>
      </w:tblGrid>
      <w:tr>
        <w:tc>
          <w:tcPr>
            <w:tcW w:type="dxa" w:w="7143"/>
            <w:tcBorders>
              <w:top w:val="single" w:sz="2" w:space="0" w:color="FFFFFF"/>
              <w:left w:val="single" w:sz="2" w:space="0" w:color="FFFFFF"/>
              <w:bottom w:val="single" w:sz="2" w:space="0" w:color="FFFFFF"/>
              <w:right w:val="single" w:sz="2" w:space="0" w:color="FFFFFF"/>
            </w:tcBorders>
          </w:tcPr>
          <w:p>
            <w:pPr>
              <w:spacing w:after="40" w:line="252" w:lineRule="auto"/>
            </w:pPr>
            <w:r>
              <w:rPr>
                <w:rFonts w:ascii="Aptos" w:hAnsi="Aptos" w:cs="Aptos" w:eastAsia="Aptos"/>
                <w:b/>
                <w:i w:val="0"/>
                <w:color w:val="8C5A2B"/>
                <w:sz w:val="19"/>
              </w:rPr>
              <w:t>1  Zuerst die Wirklichkeit, dann das Papier</w:t>
            </w:r>
          </w:p>
          <w:p>
            <w:pPr>
              <w:spacing w:after="40" w:line="252" w:lineRule="auto"/>
            </w:pPr>
            <w:r>
              <w:rPr>
                <w:rFonts w:ascii="Aptos" w:hAnsi="Aptos" w:cs="Aptos" w:eastAsia="Aptos"/>
                <w:b/>
                <w:i w:val="0"/>
                <w:color w:val="8C5A2B"/>
                <w:sz w:val="17"/>
              </w:rPr>
              <w:t xml:space="preserve">•  </w:t>
            </w:r>
            <w:r>
              <w:rPr>
                <w:rFonts w:ascii="Aptos" w:hAnsi="Aptos" w:cs="Aptos" w:eastAsia="Aptos"/>
                <w:b w:val="0"/>
                <w:i w:val="0"/>
                <w:sz w:val="17"/>
              </w:rPr>
              <w:t>„Der Unterschied zwischen Beleg und Fassade ist genau dieser: ob zuerst gehandelt und dann festgehalten wird, oder festgehalten, ohne zu handeln“ (1.7). Füllen Sie in Bogen A zuerst „Was sieht man in der Abteilung?“ aus, danach „Was sagt die Papierlage?“.</w:t>
            </w:r>
          </w:p>
          <w:p>
            <w:pPr>
              <w:spacing w:after="40" w:line="252" w:lineRule="auto"/>
            </w:pPr>
            <w:r>
              <w:rPr>
                <w:rFonts w:ascii="Aptos" w:hAnsi="Aptos" w:cs="Aptos" w:eastAsia="Aptos"/>
                <w:b w:val="0"/>
                <w:i w:val="0"/>
                <w:sz w:val="17"/>
              </w:rPr>
            </w:r>
          </w:p>
          <w:p>
            <w:pPr>
              <w:spacing w:after="40" w:line="252" w:lineRule="auto"/>
            </w:pPr>
            <w:r>
              <w:rPr>
                <w:rFonts w:ascii="Aptos" w:hAnsi="Aptos" w:cs="Aptos" w:eastAsia="Aptos"/>
                <w:b/>
                <w:i w:val="0"/>
                <w:color w:val="8C5A2B"/>
                <w:sz w:val="19"/>
              </w:rPr>
              <w:t>2  Die Lage benennen (Tabelle 2 aus 1.7)</w:t>
            </w:r>
          </w:p>
          <w:p>
            <w:pPr>
              <w:spacing w:after="40" w:line="252" w:lineRule="auto"/>
            </w:pPr>
            <w:r>
              <w:rPr>
                <w:rFonts w:ascii="Aptos" w:hAnsi="Aptos" w:cs="Aptos" w:eastAsia="Aptos"/>
                <w:b w:val="0"/>
                <w:i/>
                <w:color w:val="7A6A55"/>
                <w:sz w:val="15"/>
              </w:rPr>
              <w:t>Lesehilfe dieser Vorlage auf Grundlage der Reifegrad-Tabelle in 1.7:</w:t>
            </w:r>
          </w:p>
          <w:p>
            <w:pPr>
              <w:spacing w:after="40" w:line="252" w:lineRule="auto"/>
            </w:pPr>
            <w:r>
              <w:rPr>
                <w:rFonts w:ascii="Aptos" w:hAnsi="Aptos" w:cs="Aptos" w:eastAsia="Aptos"/>
                <w:b/>
                <w:i w:val="0"/>
                <w:sz w:val="16"/>
              </w:rPr>
              <w:t>Lage</w:t>
            </w:r>
            <w:r>
              <w:rPr>
                <w:rFonts w:ascii="Aptos" w:hAnsi="Aptos" w:cs="Aptos" w:eastAsia="Aptos"/>
                <w:b w:val="0"/>
                <w:i w:val="0"/>
                <w:color w:val="7A6A55"/>
                <w:sz w:val="16"/>
              </w:rPr>
              <w:t xml:space="preserve">  |  Abteilung  |  Papier/Nachweis  |  Das Buch sagt</w:t>
            </w:r>
          </w:p>
          <w:p>
            <w:pPr>
              <w:spacing w:after="40" w:line="252" w:lineRule="auto"/>
            </w:pPr>
            <w:r>
              <w:rPr>
                <w:rFonts w:ascii="Aptos" w:hAnsi="Aptos" w:cs="Aptos" w:eastAsia="Aptos"/>
                <w:b/>
                <w:i w:val="0"/>
                <w:color w:val="8C5A2B"/>
                <w:sz w:val="17"/>
              </w:rPr>
              <w:t>Kein System</w:t>
            </w:r>
            <w:r>
              <w:rPr>
                <w:rFonts w:ascii="Aptos" w:hAnsi="Aptos" w:cs="Aptos" w:eastAsia="Aptos"/>
                <w:b w:val="0"/>
                <w:i w:val="0"/>
                <w:sz w:val="17"/>
              </w:rPr>
              <w:t xml:space="preserve">  |  nichts zu sehen  |  kein Papier  |  „offenes Verschulden“</w:t>
            </w:r>
          </w:p>
          <w:p>
            <w:pPr>
              <w:spacing w:after="40" w:line="252" w:lineRule="auto"/>
            </w:pPr>
            <w:r>
              <w:rPr>
                <w:rFonts w:ascii="Aptos" w:hAnsi="Aptos" w:cs="Aptos" w:eastAsia="Aptos"/>
                <w:b/>
                <w:i w:val="0"/>
                <w:color w:val="8C5A2B"/>
                <w:sz w:val="17"/>
              </w:rPr>
              <w:t>Papier</w:t>
            </w:r>
            <w:r>
              <w:rPr>
                <w:rFonts w:ascii="Aptos" w:hAnsi="Aptos" w:cs="Aptos" w:eastAsia="Aptos"/>
                <w:b w:val="0"/>
                <w:i w:val="0"/>
                <w:sz w:val="17"/>
              </w:rPr>
              <w:t xml:space="preserve">  |  nicht zu sehen  |  Ordner, Formular  |  „Schein, kein Schutz“</w:t>
            </w:r>
          </w:p>
          <w:p>
            <w:pPr>
              <w:spacing w:after="40" w:line="252" w:lineRule="auto"/>
            </w:pPr>
            <w:r>
              <w:rPr>
                <w:rFonts w:ascii="Aptos" w:hAnsi="Aptos" w:cs="Aptos" w:eastAsia="Aptos"/>
                <w:b/>
                <w:i w:val="0"/>
                <w:color w:val="8C5A2B"/>
                <w:sz w:val="17"/>
              </w:rPr>
              <w:t>Gelebt, lückig</w:t>
            </w:r>
            <w:r>
              <w:rPr>
                <w:rFonts w:ascii="Aptos" w:hAnsi="Aptos" w:cs="Aptos" w:eastAsia="Aptos"/>
                <w:b w:val="0"/>
                <w:i w:val="0"/>
                <w:sz w:val="17"/>
              </w:rPr>
              <w:t xml:space="preserve">  |  zu sehen, mit leeren Feldern  |  Teilnachweis  |  „besser, doch verwundbar“</w:t>
            </w:r>
          </w:p>
          <w:p>
            <w:pPr>
              <w:spacing w:after="40" w:line="252" w:lineRule="auto"/>
            </w:pPr>
            <w:r>
              <w:rPr>
                <w:rFonts w:ascii="Aptos" w:hAnsi="Aptos" w:cs="Aptos" w:eastAsia="Aptos"/>
                <w:b/>
                <w:i w:val="0"/>
                <w:color w:val="8C5A2B"/>
                <w:sz w:val="17"/>
              </w:rPr>
              <w:t>Gelebt, belegt</w:t>
            </w:r>
            <w:r>
              <w:rPr>
                <w:rFonts w:ascii="Aptos" w:hAnsi="Aptos" w:cs="Aptos" w:eastAsia="Aptos"/>
                <w:b w:val="0"/>
                <w:i w:val="0"/>
                <w:sz w:val="17"/>
              </w:rPr>
              <w:t xml:space="preserve">  |  zu sehen  |  gepflegter Beleg  |  „erfüllte Organisationspflicht“</w:t>
            </w:r>
          </w:p>
          <w:p>
            <w:pPr>
              <w:spacing w:after="40" w:line="252" w:lineRule="auto"/>
            </w:pPr>
            <w:r>
              <w:rPr>
                <w:rFonts w:ascii="Aptos" w:hAnsi="Aptos" w:cs="Aptos" w:eastAsia="Aptos"/>
                <w:b w:val="0"/>
                <w:i/>
                <w:sz w:val="17"/>
              </w:rPr>
              <w:t>Das reine Papier „steht schlechter da als gar kein System, weil es das Wissen ohne die Tat dokumentiert“ (1.7, sinngemäß). „Ein Haus, das gut handelt und schlecht dokumentiert, steht besser da als eines, das schlecht handelt und gut dokumentiert; am besten aber steht, wer beides verbindet“ (1.7).</w:t>
            </w:r>
          </w:p>
          <w:p>
            <w:pPr>
              <w:spacing w:after="40" w:line="252" w:lineRule="auto"/>
            </w:pPr>
            <w:r>
              <w:rPr>
                <w:rFonts w:ascii="Aptos" w:hAnsi="Aptos" w:cs="Aptos" w:eastAsia="Aptos"/>
                <w:b w:val="0"/>
                <w:i w:val="0"/>
                <w:sz w:val="17"/>
              </w:rPr>
            </w:r>
          </w:p>
          <w:p>
            <w:pPr>
              <w:spacing w:after="40" w:line="252" w:lineRule="auto"/>
            </w:pPr>
            <w:r>
              <w:rPr>
                <w:rFonts w:ascii="Aptos" w:hAnsi="Aptos" w:cs="Aptos" w:eastAsia="Aptos"/>
                <w:b/>
                <w:i w:val="0"/>
                <w:color w:val="8C5A2B"/>
                <w:sz w:val="19"/>
              </w:rPr>
              <w:t>3  Den Abstand lesen (Bogen A)</w:t>
            </w:r>
          </w:p>
          <w:p>
            <w:pPr>
              <w:spacing w:after="40" w:line="252" w:lineRule="auto"/>
            </w:pPr>
            <w:r>
              <w:rPr>
                <w:rFonts w:ascii="Aptos" w:hAnsi="Aptos" w:cs="Aptos" w:eastAsia="Aptos"/>
                <w:b/>
                <w:i w:val="0"/>
                <w:color w:val="8C5A2B"/>
                <w:sz w:val="17"/>
              </w:rPr>
              <w:t xml:space="preserve">•  </w:t>
            </w:r>
            <w:r>
              <w:rPr>
                <w:rFonts w:ascii="Aptos" w:hAnsi="Aptos" w:cs="Aptos" w:eastAsia="Aptos"/>
                <w:b w:val="0"/>
                <w:i w:val="0"/>
                <w:sz w:val="17"/>
              </w:rPr>
              <w:t>keiner: Papier und Abteilung stimmen überein.  klein: einzelne Punkte weichen ab.  deutlich: Das Papier beschreibt etwas, das in der Abteilung nicht zu sehen ist (Beispiel aus dem Buch: das Formular statt der Pause, die Unterschrift statt der Kontrolle, 2.5).</w:t>
            </w:r>
          </w:p>
          <w:p>
            <w:pPr>
              <w:spacing w:after="40" w:line="252" w:lineRule="auto"/>
            </w:pPr>
            <w:r>
              <w:rPr>
                <w:rFonts w:ascii="Aptos" w:hAnsi="Aptos" w:cs="Aptos" w:eastAsia="Aptos"/>
                <w:b/>
                <w:i w:val="0"/>
                <w:color w:val="8C5A2B"/>
                <w:sz w:val="17"/>
              </w:rPr>
              <w:t xml:space="preserve">•  </w:t>
            </w:r>
            <w:r>
              <w:rPr>
                <w:rFonts w:ascii="Aptos" w:hAnsi="Aptos" w:cs="Aptos" w:eastAsia="Aptos"/>
                <w:b w:val="0"/>
                <w:i w:val="0"/>
                <w:sz w:val="17"/>
              </w:rPr>
              <w:t>Ab wann ein Abstand zu einer Maßnahme führt, legt das Haus fest; ein Wert wird erst zur Führungsgröße, wenn feststeht, „welcher Wert gut und welcher Anlass zum Handeln ist“ (1.8).</w:t>
            </w:r>
          </w:p>
          <w:p>
            <w:pPr>
              <w:spacing w:after="40" w:line="252" w:lineRule="auto"/>
            </w:pPr>
            <w:r>
              <w:rPr>
                <w:rFonts w:ascii="Aptos" w:hAnsi="Aptos" w:cs="Aptos" w:eastAsia="Aptos"/>
                <w:b/>
                <w:i w:val="0"/>
                <w:color w:val="8C5A2B"/>
                <w:sz w:val="17"/>
              </w:rPr>
              <w:t xml:space="preserve">•  </w:t>
            </w:r>
            <w:r>
              <w:rPr>
                <w:rFonts w:ascii="Aptos" w:hAnsi="Aptos" w:cs="Aptos" w:eastAsia="Aptos"/>
                <w:b w:val="0"/>
                <w:i w:val="0"/>
                <w:sz w:val="17"/>
              </w:rPr>
              <w:t>Ein Abstand ist ein Befund, kein Schuldiger: Man fragt nach der Ursache, nicht nach dem Schuldigen (2.8).</w:t>
            </w:r>
          </w:p>
        </w:tc>
        <w:tc>
          <w:tcPr>
            <w:tcW w:type="dxa" w:w="7937"/>
            <w:tcBorders>
              <w:top w:val="single" w:sz="2" w:space="0" w:color="FFFFFF"/>
              <w:left w:val="single" w:sz="2" w:space="0" w:color="FFFFFF"/>
              <w:bottom w:val="single" w:sz="2" w:space="0" w:color="FFFFFF"/>
              <w:right w:val="single" w:sz="2" w:space="0" w:color="FFFFFF"/>
            </w:tcBorders>
          </w:tcPr>
          <w:p>
            <w:pPr>
              <w:spacing w:after="40" w:line="252" w:lineRule="auto"/>
            </w:pPr>
            <w:r>
              <w:rPr>
                <w:rFonts w:ascii="Aptos" w:hAnsi="Aptos" w:cs="Aptos" w:eastAsia="Aptos"/>
                <w:b/>
                <w:i w:val="0"/>
                <w:color w:val="8C5A2B"/>
                <w:sz w:val="19"/>
              </w:rPr>
              <w:t>4  Die Kennzahlen lesen (Bogen B)</w:t>
            </w:r>
          </w:p>
          <w:p>
            <w:pPr>
              <w:spacing w:after="40" w:line="252" w:lineRule="auto"/>
            </w:pPr>
            <w:r>
              <w:rPr>
                <w:rFonts w:ascii="Aptos" w:hAnsi="Aptos" w:cs="Aptos" w:eastAsia="Aptos"/>
                <w:b/>
                <w:i w:val="0"/>
                <w:color w:val="8C5A2B"/>
                <w:sz w:val="17"/>
              </w:rPr>
              <w:t xml:space="preserve">•  </w:t>
            </w:r>
            <w:r>
              <w:rPr>
                <w:rFonts w:ascii="Aptos" w:hAnsi="Aptos" w:cs="Aptos" w:eastAsia="Aptos"/>
                <w:b w:val="0"/>
                <w:i w:val="0"/>
                <w:sz w:val="17"/>
              </w:rPr>
              <w:t>Die Null ist mehrdeutig: Sicherheit, Glück oder Schweigen. Nur der Blick daneben hilft: Steigen die Meldungen kleiner Vorfälle, spricht das für Offenheit; herrscht völlige Stille, ist Vorsicht geboten (1.8).</w:t>
            </w:r>
          </w:p>
          <w:p>
            <w:pPr>
              <w:spacing w:after="40" w:line="252" w:lineRule="auto"/>
            </w:pPr>
            <w:r>
              <w:rPr>
                <w:rFonts w:ascii="Aptos" w:hAnsi="Aptos" w:cs="Aptos" w:eastAsia="Aptos"/>
                <w:b/>
                <w:i w:val="0"/>
                <w:color w:val="8C5A2B"/>
                <w:sz w:val="17"/>
              </w:rPr>
              <w:t xml:space="preserve">•  </w:t>
            </w:r>
            <w:r>
              <w:rPr>
                <w:rFonts w:ascii="Aptos" w:hAnsi="Aptos" w:cs="Aptos" w:eastAsia="Aptos"/>
                <w:b w:val="0"/>
                <w:i w:val="0"/>
                <w:sz w:val="17"/>
              </w:rPr>
              <w:t>Eine steigende Zahl gemeldeter Beinahe-Unfälle ist meist ein gutes Zeichen, nie aber ohne Abgleich mit Exposition, möglicher Schwere und erledigten Maßnahmen; eine sinkende Meldequote ist oft eine schlechte Nachricht (1.8).</w:t>
            </w:r>
          </w:p>
          <w:p>
            <w:pPr>
              <w:spacing w:after="40" w:line="252" w:lineRule="auto"/>
            </w:pPr>
            <w:r>
              <w:rPr>
                <w:rFonts w:ascii="Aptos" w:hAnsi="Aptos" w:cs="Aptos" w:eastAsia="Aptos"/>
                <w:b/>
                <w:i w:val="0"/>
                <w:color w:val="8C5A2B"/>
                <w:sz w:val="17"/>
              </w:rPr>
              <w:t xml:space="preserve">•  </w:t>
            </w:r>
            <w:r>
              <w:rPr>
                <w:rFonts w:ascii="Aptos" w:hAnsi="Aptos" w:cs="Aptos" w:eastAsia="Aptos"/>
                <w:b w:val="0"/>
                <w:i w:val="0"/>
                <w:sz w:val="17"/>
              </w:rPr>
              <w:t>Keine Kennzahl wird allein gelesen; jede hat Bezugsgröße, Kriterium und einen benannten Eigentümer („Eine namenlose Aufgabe ist eine unerfüllte“, 1.8).</w:t>
            </w:r>
          </w:p>
          <w:p>
            <w:pPr>
              <w:spacing w:after="40" w:line="252" w:lineRule="auto"/>
            </w:pPr>
            <w:r>
              <w:rPr>
                <w:rFonts w:ascii="Aptos" w:hAnsi="Aptos" w:cs="Aptos" w:eastAsia="Aptos"/>
                <w:b/>
                <w:i w:val="0"/>
                <w:color w:val="8C5A2B"/>
                <w:sz w:val="17"/>
              </w:rPr>
              <w:t xml:space="preserve">•  </w:t>
            </w:r>
            <w:r>
              <w:rPr>
                <w:rFonts w:ascii="Aptos" w:hAnsi="Aptos" w:cs="Aptos" w:eastAsia="Aptos"/>
                <w:b w:val="0"/>
                <w:i w:val="0"/>
                <w:sz w:val="17"/>
              </w:rPr>
              <w:t>Wenige statt viele: drei bis fünf Frühindikatoren, die Handeln auslösen; geprüft dort, wo Entscheidungen fallen – in der Managementbewertung (9.3) und im Arbeitsschutzausschuss (1.8). Nicht an Bonus oder Strafe koppeln.</w:t>
            </w:r>
          </w:p>
          <w:p>
            <w:pPr>
              <w:spacing w:after="40" w:line="252" w:lineRule="auto"/>
            </w:pPr>
            <w:r>
              <w:rPr>
                <w:rFonts w:ascii="Aptos" w:hAnsi="Aptos" w:cs="Aptos" w:eastAsia="Aptos"/>
                <w:b/>
                <w:i w:val="0"/>
                <w:color w:val="8C5A2B"/>
                <w:sz w:val="17"/>
              </w:rPr>
              <w:t xml:space="preserve">•  </w:t>
            </w:r>
            <w:r>
              <w:rPr>
                <w:rFonts w:ascii="Aptos" w:hAnsi="Aptos" w:cs="Aptos" w:eastAsia="Aptos"/>
                <w:b w:val="0"/>
                <w:i w:val="0"/>
                <w:sz w:val="17"/>
              </w:rPr>
              <w:t>„Prädiktiv“ heißt vorausschauend, nicht Software oder KI; eine handschriftliche Strichliste genügt (1.8). Vorhersagen, wann der nächste Unfall geschieht, kann kein Frühindikator.</w:t>
            </w:r>
          </w:p>
          <w:p>
            <w:pPr>
              <w:spacing w:after="40" w:line="252" w:lineRule="auto"/>
            </w:pPr>
            <w:r>
              <w:rPr>
                <w:rFonts w:ascii="Aptos" w:hAnsi="Aptos" w:cs="Aptos" w:eastAsia="Aptos"/>
                <w:b w:val="0"/>
                <w:i w:val="0"/>
                <w:sz w:val="17"/>
              </w:rPr>
            </w:r>
          </w:p>
          <w:p>
            <w:pPr>
              <w:spacing w:after="40" w:line="252" w:lineRule="auto"/>
            </w:pPr>
            <w:r>
              <w:rPr>
                <w:rFonts w:ascii="Aptos" w:hAnsi="Aptos" w:cs="Aptos" w:eastAsia="Aptos"/>
                <w:b/>
                <w:i w:val="0"/>
                <w:color w:val="8C5A2B"/>
                <w:sz w:val="19"/>
              </w:rPr>
              <w:t>5  Die Begehung lesen (Bogen C)</w:t>
            </w:r>
          </w:p>
          <w:p>
            <w:pPr>
              <w:spacing w:after="40" w:line="252" w:lineRule="auto"/>
            </w:pPr>
            <w:r>
              <w:rPr>
                <w:rFonts w:ascii="Aptos" w:hAnsi="Aptos" w:cs="Aptos" w:eastAsia="Aptos"/>
                <w:b/>
                <w:i w:val="0"/>
                <w:color w:val="8C5A2B"/>
                <w:sz w:val="17"/>
              </w:rPr>
              <w:t xml:space="preserve">•  </w:t>
            </w:r>
            <w:r>
              <w:rPr>
                <w:rFonts w:ascii="Aptos" w:hAnsi="Aptos" w:cs="Aptos" w:eastAsia="Aptos"/>
                <w:b w:val="0"/>
                <w:i w:val="0"/>
                <w:sz w:val="17"/>
              </w:rPr>
              <w:t>Die Begehung ist eine Tätigkeit, kein Dokument: „das Gehen ist das Sehen, nicht das Formular“ (2.9). Gegen die Betriebsblindheit helfen der frische Blick, der wechselnde Beobachter und die bewusste Liste.</w:t>
            </w:r>
          </w:p>
          <w:p>
            <w:pPr>
              <w:spacing w:after="40" w:line="252" w:lineRule="auto"/>
            </w:pPr>
            <w:r>
              <w:rPr>
                <w:rFonts w:ascii="Aptos" w:hAnsi="Aptos" w:cs="Aptos" w:eastAsia="Aptos"/>
                <w:b/>
                <w:i w:val="0"/>
                <w:color w:val="8C5A2B"/>
                <w:sz w:val="17"/>
              </w:rPr>
              <w:t xml:space="preserve">•  </w:t>
            </w:r>
            <w:r>
              <w:rPr>
                <w:rFonts w:ascii="Aptos" w:hAnsi="Aptos" w:cs="Aptos" w:eastAsia="Aptos"/>
                <w:b w:val="0"/>
                <w:i w:val="0"/>
                <w:sz w:val="17"/>
              </w:rPr>
              <w:t>Gemessen ist nicht verbessert: Die gefundene und nicht behobene Gefahr ist schlimmer als die übersehene (2.9). Lesen Sie daher neben den gefundenen die behobenen Gefahren – und ob das Behobene behoben bleibt.</w:t>
            </w:r>
          </w:p>
          <w:p>
            <w:pPr>
              <w:spacing w:after="40" w:line="252" w:lineRule="auto"/>
            </w:pPr>
            <w:r>
              <w:rPr>
                <w:rFonts w:ascii="Aptos" w:hAnsi="Aptos" w:cs="Aptos" w:eastAsia="Aptos"/>
                <w:b/>
                <w:i w:val="0"/>
                <w:color w:val="8C5A2B"/>
                <w:sz w:val="17"/>
              </w:rPr>
              <w:t xml:space="preserve">•  </w:t>
            </w:r>
            <w:r>
              <w:rPr>
                <w:rFonts w:ascii="Aptos" w:hAnsi="Aptos" w:cs="Aptos" w:eastAsia="Aptos"/>
                <w:b w:val="0"/>
                <w:i w:val="0"/>
                <w:sz w:val="17"/>
              </w:rPr>
              <w:t>Ihre Stufe lesen Sie in der Reifegrad-Tabelle von 2.9 (Rückspiegel – Formular – Frisches Auge – Wachsam).</w:t>
            </w:r>
          </w:p>
          <w:p>
            <w:pPr>
              <w:spacing w:after="40" w:line="252" w:lineRule="auto"/>
            </w:pPr>
            <w:r>
              <w:rPr>
                <w:rFonts w:ascii="Aptos" w:hAnsi="Aptos" w:cs="Aptos" w:eastAsia="Aptos"/>
                <w:b w:val="0"/>
                <w:i w:val="0"/>
                <w:sz w:val="17"/>
              </w:rPr>
            </w:r>
          </w:p>
          <w:p>
            <w:pPr>
              <w:spacing w:after="40" w:line="252" w:lineRule="auto"/>
            </w:pPr>
            <w:r>
              <w:rPr>
                <w:rFonts w:ascii="Aptos" w:hAnsi="Aptos" w:cs="Aptos" w:eastAsia="Aptos"/>
                <w:b/>
                <w:i w:val="0"/>
                <w:color w:val="8C5A2B"/>
                <w:sz w:val="19"/>
              </w:rPr>
              <w:t>6  Was folgt, und was der Test nicht ist</w:t>
            </w:r>
          </w:p>
          <w:p>
            <w:pPr>
              <w:spacing w:after="40" w:line="252" w:lineRule="auto"/>
            </w:pPr>
            <w:r>
              <w:rPr>
                <w:rFonts w:ascii="Aptos" w:hAnsi="Aptos" w:cs="Aptos" w:eastAsia="Aptos"/>
                <w:b/>
                <w:i w:val="0"/>
                <w:color w:val="8C5A2B"/>
                <w:sz w:val="17"/>
              </w:rPr>
              <w:t xml:space="preserve">•  </w:t>
            </w:r>
            <w:r>
              <w:rPr>
                <w:rFonts w:ascii="Aptos" w:hAnsi="Aptos" w:cs="Aptos" w:eastAsia="Aptos"/>
                <w:b w:val="0"/>
                <w:i w:val="0"/>
                <w:sz w:val="17"/>
              </w:rPr>
              <w:t>Zeilen mit deutlichem Abstand gehören in den Maßnahmenplan (Plattform-Vorlage, STOP-Prinzip) und werden bei der nächsten Begehung geprüft: „was die Korrektur ändert, prüft die nächste Begehung“ (2.9).</w:t>
            </w:r>
          </w:p>
          <w:p>
            <w:pPr>
              <w:spacing w:after="40" w:line="252" w:lineRule="auto"/>
            </w:pPr>
            <w:r>
              <w:rPr>
                <w:rFonts w:ascii="Aptos" w:hAnsi="Aptos" w:cs="Aptos" w:eastAsia="Aptos"/>
                <w:b/>
                <w:i w:val="0"/>
                <w:color w:val="8C5A2B"/>
                <w:sz w:val="17"/>
              </w:rPr>
              <w:t xml:space="preserve">•  </w:t>
            </w:r>
            <w:r>
              <w:rPr>
                <w:rFonts w:ascii="Aptos" w:hAnsi="Aptos" w:cs="Aptos" w:eastAsia="Aptos"/>
                <w:b w:val="0"/>
                <w:i w:val="0"/>
                <w:sz w:val="17"/>
              </w:rPr>
              <w:t>Das Ergebnis ist eine Standortbestimmung, kein Urteil (Glossar, „Reifegrad“), kein Audit und keine Aussage zur Zertifizierbarkeit.</w:t>
            </w:r>
          </w:p>
        </w:tc>
      </w:tr>
    </w:tbl>
    <w:p>
      <w:pPr>
        <w:keepNext/>
        <w:pageBreakBefore/>
        <w:spacing w:before="280" w:after="80"/>
        <w:pBdr>
          <w:bottom w:val="single" w:sz="6" w:space="2" w:color="C9BBA6"/>
        </w:pBdr>
      </w:pPr>
      <w:r>
        <w:rPr>
          <w:rFonts w:ascii="Aptos" w:hAnsi="Aptos" w:cs="Aptos" w:eastAsia="Aptos"/>
          <w:b/>
          <w:color w:val="8C5A2B"/>
          <w:sz w:val="28"/>
        </w:rPr>
        <w:t>Bogen A – Gelebtes gegen geschriebenes System</w:t>
      </w:r>
    </w:p>
    <w:p>
      <w:pPr>
        <w:spacing w:after="60"/>
      </w:pPr>
      <w:r>
        <w:rPr>
          <w:rFonts w:ascii="Aptos" w:hAnsi="Aptos" w:cs="Aptos" w:eastAsia="Aptos"/>
          <w:b w:val="0"/>
          <w:i w:val="0"/>
          <w:sz w:val="18"/>
        </w:rPr>
        <w:t>Je Zeile ein Prozess. Ausfüllen in dieser Reihenfolge: (1) Was sieht man in der Abteilung? (2) Was sagt die Papierlage? (3) Abstand ankreuzen. (4) Was belegt es? Die graue Schrift gibt den Schein, die Wirklichkeit und die Frage des Buches wieder (Tabelle „Der rote Faden“, 2.15, und Prüf-Checkliste des Abschnitts).</w:t>
      </w:r>
    </w:p>
    <w:tbl>
      <w:tblPr>
        <w:tblW w:type="auto" w:w="0"/>
        <w:jc w:val="center"/>
        <w:tblLayout w:type="fixed"/>
        <w:tblLook w:firstColumn="1" w:firstRow="1" w:lastColumn="0" w:lastRow="0" w:noHBand="0" w:noVBand="1" w:val="04A0"/>
      </w:tblPr>
      <w:tblGrid>
        <w:gridCol w:w="1928"/>
        <w:gridCol w:w="3175"/>
        <w:gridCol w:w="2835"/>
        <w:gridCol w:w="2835"/>
        <w:gridCol w:w="1247"/>
        <w:gridCol w:w="3118"/>
      </w:tblGrid>
      <w:tr>
        <w:trPr>
          <w:tblHeader w:val="true"/>
        </w:trPr>
        <w:tc>
          <w:tcPr>
            <w:tcW w:type="dxa" w:w="19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Prozess (Abschnitt)</w:t>
            </w:r>
          </w:p>
        </w:tc>
        <w:tc>
          <w:tcPr>
            <w:tcW w:type="dxa" w:w="317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Schein → Wirklichkeit (Buch)</w:t>
            </w:r>
          </w:p>
        </w:tc>
        <w:tc>
          <w:tcPr>
            <w:tcW w:type="dxa" w:w="28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Was sieht man in der Abteilung?</w:t>
            </w:r>
          </w:p>
        </w:tc>
        <w:tc>
          <w:tcPr>
            <w:tcW w:type="dxa" w:w="28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Was sagt die Papierlage?</w:t>
            </w:r>
          </w:p>
        </w:tc>
        <w:tc>
          <w:tcPr>
            <w:tcW w:type="dxa" w:w="124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Abstand</w:t>
            </w:r>
          </w:p>
        </w:tc>
        <w:tc>
          <w:tcPr>
            <w:tcW w:type="dxa" w:w="311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Nachweis (was belegt es? Datum, Ort, wer)</w:t>
            </w:r>
          </w:p>
        </w:tc>
      </w:tr>
      <w:tr>
        <w:trPr>
          <w:cantSplit w:val="true"/>
          <w:trHeight w:val="124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sz w:val="16"/>
              </w:rPr>
              <w:t>Betriebliche Steuerung</w:t>
            </w:r>
          </w:p>
          <w:p>
            <w:pPr>
              <w:spacing w:after="20" w:line="252" w:lineRule="auto"/>
            </w:pPr>
            <w:r>
              <w:rPr>
                <w:rFonts w:ascii="Aptos" w:hAnsi="Aptos" w:cs="Aptos" w:eastAsia="Aptos"/>
                <w:b/>
                <w:i w:val="0"/>
                <w:color w:val="8C5A2B"/>
                <w:sz w:val="16"/>
              </w:rPr>
              <w:t>2.1</w:t>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Schein: Sicherheit oder Betrieb  →  Wirklichkeit: beides zugleich</w:t>
            </w:r>
          </w:p>
          <w:p>
            <w:pPr>
              <w:spacing w:after="20" w:line="252" w:lineRule="auto"/>
            </w:pPr>
            <w:r>
              <w:rPr>
                <w:rFonts w:ascii="Aptos" w:hAnsi="Aptos" w:cs="Aptos" w:eastAsia="Aptos"/>
                <w:b w:val="0"/>
                <w:i/>
                <w:color w:val="7A6A55"/>
                <w:sz w:val="15"/>
              </w:rPr>
              <w:t>Frage des Buches: „Hält meine Steuerung gerade im Druck – oder weicht die Sicherheit, sobald es eng wird?“</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t>☐ keiner</w:t>
            </w:r>
          </w:p>
          <w:p>
            <w:pPr>
              <w:spacing w:after="20" w:line="252" w:lineRule="auto"/>
            </w:pPr>
            <w:r>
              <w:rPr>
                <w:rFonts w:ascii="Aptos" w:hAnsi="Aptos" w:cs="Aptos" w:eastAsia="Aptos"/>
                <w:b w:val="0"/>
                <w:i w:val="0"/>
                <w:sz w:val="16"/>
              </w:rPr>
              <w:t>☐ klein</w:t>
            </w:r>
          </w:p>
          <w:p>
            <w:pPr>
              <w:spacing w:after="20" w:line="252" w:lineRule="auto"/>
            </w:pPr>
            <w:r>
              <w:rPr>
                <w:rFonts w:ascii="Aptos" w:hAnsi="Aptos" w:cs="Aptos" w:eastAsia="Aptos"/>
                <w:b w:val="0"/>
                <w:i w:val="0"/>
                <w:sz w:val="16"/>
              </w:rPr>
              <w:t>☐ deutlich</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Gilt als Beleg: über die Änderungssteuerung geführt (Tabelle 1, 2.1)</w:t>
            </w:r>
          </w:p>
          <w:p>
            <w:pPr>
              <w:spacing w:after="20" w:line="252" w:lineRule="auto"/>
            </w:pPr>
            <w:r>
              <w:rPr>
                <w:rFonts w:ascii="Aptos" w:hAnsi="Aptos" w:cs="Aptos" w:eastAsia="Aptos"/>
                <w:b w:val="0"/>
                <w:i w:val="0"/>
                <w:sz w:val="16"/>
              </w:rPr>
            </w:r>
          </w:p>
        </w:tc>
      </w:tr>
      <w:tr>
        <w:trPr>
          <w:cantSplit w:val="true"/>
          <w:trHeight w:val="124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sz w:val="16"/>
              </w:rPr>
              <w:t>Information und Übergabe</w:t>
            </w:r>
          </w:p>
          <w:p>
            <w:pPr>
              <w:spacing w:after="20" w:line="252" w:lineRule="auto"/>
            </w:pPr>
            <w:r>
              <w:rPr>
                <w:rFonts w:ascii="Aptos" w:hAnsi="Aptos" w:cs="Aptos" w:eastAsia="Aptos"/>
                <w:b/>
                <w:i w:val="0"/>
                <w:color w:val="8C5A2B"/>
                <w:sz w:val="16"/>
              </w:rPr>
              <w:t>2.2</w:t>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Schein: verschickt  →  Wirklichkeit: angekommen</w:t>
            </w:r>
          </w:p>
          <w:p>
            <w:pPr>
              <w:spacing w:after="20" w:line="252" w:lineRule="auto"/>
            </w:pPr>
            <w:r>
              <w:rPr>
                <w:rFonts w:ascii="Aptos" w:hAnsi="Aptos" w:cs="Aptos" w:eastAsia="Aptos"/>
                <w:b w:val="0"/>
                <w:i/>
                <w:color w:val="7A6A55"/>
                <w:sz w:val="15"/>
              </w:rPr>
              <w:t>Frage des Buches: „Trägt meine Übergabe verlässlich – oder bricht sie bei Schichtwechsel und Pause?“</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t>☐ keiner</w:t>
            </w:r>
          </w:p>
          <w:p>
            <w:pPr>
              <w:spacing w:after="20" w:line="252" w:lineRule="auto"/>
            </w:pPr>
            <w:r>
              <w:rPr>
                <w:rFonts w:ascii="Aptos" w:hAnsi="Aptos" w:cs="Aptos" w:eastAsia="Aptos"/>
                <w:b w:val="0"/>
                <w:i w:val="0"/>
                <w:sz w:val="16"/>
              </w:rPr>
              <w:t>☐ klein</w:t>
            </w:r>
          </w:p>
          <w:p>
            <w:pPr>
              <w:spacing w:after="20" w:line="252" w:lineRule="auto"/>
            </w:pPr>
            <w:r>
              <w:rPr>
                <w:rFonts w:ascii="Aptos" w:hAnsi="Aptos" w:cs="Aptos" w:eastAsia="Aptos"/>
                <w:b w:val="0"/>
                <w:i w:val="0"/>
                <w:sz w:val="16"/>
              </w:rPr>
              <w:t>☐ deutlich</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Gilt als Beleg: das Handeln danach (Tabelle 1, 2.2)</w:t>
            </w:r>
          </w:p>
          <w:p>
            <w:pPr>
              <w:spacing w:after="20" w:line="252" w:lineRule="auto"/>
            </w:pPr>
            <w:r>
              <w:rPr>
                <w:rFonts w:ascii="Aptos" w:hAnsi="Aptos" w:cs="Aptos" w:eastAsia="Aptos"/>
                <w:b w:val="0"/>
                <w:i w:val="0"/>
                <w:sz w:val="16"/>
              </w:rPr>
            </w:r>
          </w:p>
        </w:tc>
      </w:tr>
      <w:tr>
        <w:trPr>
          <w:cantSplit w:val="true"/>
          <w:trHeight w:val="124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sz w:val="16"/>
              </w:rPr>
              <w:t>Unterweisung und Kompetenz</w:t>
            </w:r>
          </w:p>
          <w:p>
            <w:pPr>
              <w:spacing w:after="20" w:line="252" w:lineRule="auto"/>
            </w:pPr>
            <w:r>
              <w:rPr>
                <w:rFonts w:ascii="Aptos" w:hAnsi="Aptos" w:cs="Aptos" w:eastAsia="Aptos"/>
                <w:b/>
                <w:i w:val="0"/>
                <w:color w:val="8C5A2B"/>
                <w:sz w:val="16"/>
              </w:rPr>
              <w:t>2.3</w:t>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Schein: unterwiesen, gewusst  →  Wirklichkeit: gekonnt</w:t>
            </w:r>
          </w:p>
          <w:p>
            <w:pPr>
              <w:spacing w:after="20" w:line="252" w:lineRule="auto"/>
            </w:pPr>
            <w:r>
              <w:rPr>
                <w:rFonts w:ascii="Aptos" w:hAnsi="Aptos" w:cs="Aptos" w:eastAsia="Aptos"/>
                <w:b w:val="0"/>
                <w:i/>
                <w:color w:val="7A6A55"/>
                <w:sz w:val="15"/>
              </w:rPr>
              <w:t>Frage des Buches: „Prüfe ich das Können – oder begnüge ich mich mit der Unterschrift?“</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t>☐ keiner</w:t>
            </w:r>
          </w:p>
          <w:p>
            <w:pPr>
              <w:spacing w:after="20" w:line="252" w:lineRule="auto"/>
            </w:pPr>
            <w:r>
              <w:rPr>
                <w:rFonts w:ascii="Aptos" w:hAnsi="Aptos" w:cs="Aptos" w:eastAsia="Aptos"/>
                <w:b w:val="0"/>
                <w:i w:val="0"/>
                <w:sz w:val="16"/>
              </w:rPr>
              <w:t>☐ klein</w:t>
            </w:r>
          </w:p>
          <w:p>
            <w:pPr>
              <w:spacing w:after="20" w:line="252" w:lineRule="auto"/>
            </w:pPr>
            <w:r>
              <w:rPr>
                <w:rFonts w:ascii="Aptos" w:hAnsi="Aptos" w:cs="Aptos" w:eastAsia="Aptos"/>
                <w:b w:val="0"/>
                <w:i w:val="0"/>
                <w:sz w:val="16"/>
              </w:rPr>
              <w:t>☐ deutlich</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Gilt als Beleg: der gezeigte Handgriff, die Vorführung (Tabelle 1, 2.3)</w:t>
            </w:r>
          </w:p>
          <w:p>
            <w:pPr>
              <w:spacing w:after="20" w:line="252" w:lineRule="auto"/>
            </w:pPr>
            <w:r>
              <w:rPr>
                <w:rFonts w:ascii="Aptos" w:hAnsi="Aptos" w:cs="Aptos" w:eastAsia="Aptos"/>
                <w:b w:val="0"/>
                <w:i w:val="0"/>
                <w:sz w:val="16"/>
              </w:rPr>
            </w:r>
          </w:p>
        </w:tc>
      </w:tr>
      <w:tr>
        <w:trPr>
          <w:cantSplit w:val="true"/>
          <w:trHeight w:val="124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sz w:val="16"/>
              </w:rPr>
              <w:t>Dokumentierte Information</w:t>
            </w:r>
          </w:p>
          <w:p>
            <w:pPr>
              <w:spacing w:after="20" w:line="252" w:lineRule="auto"/>
            </w:pPr>
            <w:r>
              <w:rPr>
                <w:rFonts w:ascii="Aptos" w:hAnsi="Aptos" w:cs="Aptos" w:eastAsia="Aptos"/>
                <w:b/>
                <w:i w:val="0"/>
                <w:color w:val="8C5A2B"/>
                <w:sz w:val="16"/>
              </w:rPr>
              <w:t>2.4</w:t>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Schein: dokumentiert  →  Wirklichkeit: befolgt</w:t>
            </w:r>
          </w:p>
          <w:p>
            <w:pPr>
              <w:spacing w:after="20" w:line="252" w:lineRule="auto"/>
            </w:pPr>
            <w:r>
              <w:rPr>
                <w:rFonts w:ascii="Aptos" w:hAnsi="Aptos" w:cs="Aptos" w:eastAsia="Aptos"/>
                <w:b w:val="0"/>
                <w:i/>
                <w:color w:val="7A6A55"/>
                <w:sz w:val="15"/>
              </w:rPr>
              <w:t>Frage des Buches: „Findet die Hand am Werk das Dokument, wenn sie es braucht – oder liegt es im Büro?“</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t>☐ keiner</w:t>
            </w:r>
          </w:p>
          <w:p>
            <w:pPr>
              <w:spacing w:after="20" w:line="252" w:lineRule="auto"/>
            </w:pPr>
            <w:r>
              <w:rPr>
                <w:rFonts w:ascii="Aptos" w:hAnsi="Aptos" w:cs="Aptos" w:eastAsia="Aptos"/>
                <w:b w:val="0"/>
                <w:i w:val="0"/>
                <w:sz w:val="16"/>
              </w:rPr>
              <w:t>☐ klein</w:t>
            </w:r>
          </w:p>
          <w:p>
            <w:pPr>
              <w:spacing w:after="20" w:line="252" w:lineRule="auto"/>
            </w:pPr>
            <w:r>
              <w:rPr>
                <w:rFonts w:ascii="Aptos" w:hAnsi="Aptos" w:cs="Aptos" w:eastAsia="Aptos"/>
                <w:b w:val="0"/>
                <w:i w:val="0"/>
                <w:sz w:val="16"/>
              </w:rPr>
              <w:t>☐ deutlich</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Gilt als Beleg: es wird befolgt (Tabelle 1, 2.4)</w:t>
            </w:r>
          </w:p>
          <w:p>
            <w:pPr>
              <w:spacing w:after="20" w:line="252" w:lineRule="auto"/>
            </w:pPr>
            <w:r>
              <w:rPr>
                <w:rFonts w:ascii="Aptos" w:hAnsi="Aptos" w:cs="Aptos" w:eastAsia="Aptos"/>
                <w:b w:val="0"/>
                <w:i w:val="0"/>
                <w:sz w:val="16"/>
              </w:rPr>
            </w:r>
          </w:p>
        </w:tc>
      </w:tr>
      <w:tr>
        <w:trPr>
          <w:cantSplit w:val="true"/>
          <w:trHeight w:val="124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sz w:val="16"/>
              </w:rPr>
              <w:t>Arbeitsfreigabe</w:t>
            </w:r>
          </w:p>
          <w:p>
            <w:pPr>
              <w:spacing w:after="20" w:line="252" w:lineRule="auto"/>
            </w:pPr>
            <w:r>
              <w:rPr>
                <w:rFonts w:ascii="Aptos" w:hAnsi="Aptos" w:cs="Aptos" w:eastAsia="Aptos"/>
                <w:b/>
                <w:i w:val="0"/>
                <w:color w:val="8C5A2B"/>
                <w:sz w:val="16"/>
              </w:rPr>
              <w:t>2.5</w:t>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Schein: das Formular  →  Wirklichkeit: die Pause</w:t>
            </w:r>
          </w:p>
          <w:p>
            <w:pPr>
              <w:spacing w:after="20" w:line="252" w:lineRule="auto"/>
            </w:pPr>
            <w:r>
              <w:rPr>
                <w:rFonts w:ascii="Aptos" w:hAnsi="Aptos" w:cs="Aptos" w:eastAsia="Aptos"/>
                <w:b w:val="0"/>
                <w:i/>
                <w:color w:val="7A6A55"/>
                <w:sz w:val="15"/>
              </w:rPr>
              <w:t>Frage des Buches: „Erzwingt die Freigabe eine wirkliche Prüfung – oder nur eine Unterschrift?“</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t>☐ keiner</w:t>
            </w:r>
          </w:p>
          <w:p>
            <w:pPr>
              <w:spacing w:after="20" w:line="252" w:lineRule="auto"/>
            </w:pPr>
            <w:r>
              <w:rPr>
                <w:rFonts w:ascii="Aptos" w:hAnsi="Aptos" w:cs="Aptos" w:eastAsia="Aptos"/>
                <w:b w:val="0"/>
                <w:i w:val="0"/>
                <w:sz w:val="16"/>
              </w:rPr>
              <w:t>☐ klein</w:t>
            </w:r>
          </w:p>
          <w:p>
            <w:pPr>
              <w:spacing w:after="20" w:line="252" w:lineRule="auto"/>
            </w:pPr>
            <w:r>
              <w:rPr>
                <w:rFonts w:ascii="Aptos" w:hAnsi="Aptos" w:cs="Aptos" w:eastAsia="Aptos"/>
                <w:b w:val="0"/>
                <w:i w:val="0"/>
                <w:sz w:val="16"/>
              </w:rPr>
              <w:t>☐ deutlich</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Gilt als Beleg: Pause, Rettung geplant, nachgesorgt (Reifegrad 2.5)</w:t>
            </w:r>
          </w:p>
          <w:p>
            <w:pPr>
              <w:spacing w:after="20" w:line="252" w:lineRule="auto"/>
            </w:pPr>
            <w:r>
              <w:rPr>
                <w:rFonts w:ascii="Aptos" w:hAnsi="Aptos" w:cs="Aptos" w:eastAsia="Aptos"/>
                <w:b w:val="0"/>
                <w:i w:val="0"/>
                <w:sz w:val="16"/>
              </w:rPr>
            </w:r>
          </w:p>
        </w:tc>
      </w:tr>
      <w:tr>
        <w:trPr>
          <w:cantSplit w:val="true"/>
          <w:trHeight w:val="124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sz w:val="16"/>
              </w:rPr>
              <w:t>Fremdfirmen und Beschaffung</w:t>
            </w:r>
          </w:p>
          <w:p>
            <w:pPr>
              <w:spacing w:after="20" w:line="252" w:lineRule="auto"/>
            </w:pPr>
            <w:r>
              <w:rPr>
                <w:rFonts w:ascii="Aptos" w:hAnsi="Aptos" w:cs="Aptos" w:eastAsia="Aptos"/>
                <w:b/>
                <w:i w:val="0"/>
                <w:color w:val="8C5A2B"/>
                <w:sz w:val="16"/>
              </w:rPr>
              <w:t>2.6</w:t>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Schein: beauftragt  →  Wirklichkeit: nicht entlastet</w:t>
            </w:r>
          </w:p>
          <w:p>
            <w:pPr>
              <w:spacing w:after="20" w:line="252" w:lineRule="auto"/>
            </w:pPr>
            <w:r>
              <w:rPr>
                <w:rFonts w:ascii="Aptos" w:hAnsi="Aptos" w:cs="Aptos" w:eastAsia="Aptos"/>
                <w:b w:val="0"/>
                <w:i/>
                <w:color w:val="7A6A55"/>
                <w:sz w:val="15"/>
              </w:rPr>
              <w:t>Frage des Buches: „Koordiniere ich vor dem Beginn – alle drei Richtungen, samt der Gefahr für die Gäste?“</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t>☐ keiner</w:t>
            </w:r>
          </w:p>
          <w:p>
            <w:pPr>
              <w:spacing w:after="20" w:line="252" w:lineRule="auto"/>
            </w:pPr>
            <w:r>
              <w:rPr>
                <w:rFonts w:ascii="Aptos" w:hAnsi="Aptos" w:cs="Aptos" w:eastAsia="Aptos"/>
                <w:b w:val="0"/>
                <w:i w:val="0"/>
                <w:sz w:val="16"/>
              </w:rPr>
              <w:t>☐ klein</w:t>
            </w:r>
          </w:p>
          <w:p>
            <w:pPr>
              <w:spacing w:after="20" w:line="252" w:lineRule="auto"/>
            </w:pPr>
            <w:r>
              <w:rPr>
                <w:rFonts w:ascii="Aptos" w:hAnsi="Aptos" w:cs="Aptos" w:eastAsia="Aptos"/>
                <w:b w:val="0"/>
                <w:i w:val="0"/>
                <w:sz w:val="16"/>
              </w:rPr>
              <w:t>☐ deutlich</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Gilt als Beleg: wer sichert was, geklärt (Reifegrad 2.6)</w:t>
            </w:r>
          </w:p>
          <w:p>
            <w:pPr>
              <w:spacing w:after="20" w:line="252" w:lineRule="auto"/>
            </w:pPr>
            <w:r>
              <w:rPr>
                <w:rFonts w:ascii="Aptos" w:hAnsi="Aptos" w:cs="Aptos" w:eastAsia="Aptos"/>
                <w:b w:val="0"/>
                <w:i w:val="0"/>
                <w:sz w:val="16"/>
              </w:rPr>
            </w:r>
          </w:p>
        </w:tc>
      </w:tr>
      <w:tr>
        <w:trPr>
          <w:cantSplit w:val="true"/>
          <w:trHeight w:val="124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sz w:val="16"/>
              </w:rPr>
              <w:t>Notfall</w:t>
            </w:r>
          </w:p>
          <w:p>
            <w:pPr>
              <w:spacing w:after="20" w:line="252" w:lineRule="auto"/>
            </w:pPr>
            <w:r>
              <w:rPr>
                <w:rFonts w:ascii="Aptos" w:hAnsi="Aptos" w:cs="Aptos" w:eastAsia="Aptos"/>
                <w:b/>
                <w:i w:val="0"/>
                <w:color w:val="8C5A2B"/>
                <w:sz w:val="16"/>
              </w:rPr>
              <w:t>2.7</w:t>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Schein: geplant  →  Wirklichkeit: geübt</w:t>
            </w:r>
          </w:p>
          <w:p>
            <w:pPr>
              <w:spacing w:after="20" w:line="252" w:lineRule="auto"/>
            </w:pPr>
            <w:r>
              <w:rPr>
                <w:rFonts w:ascii="Aptos" w:hAnsi="Aptos" w:cs="Aptos" w:eastAsia="Aptos"/>
                <w:b w:val="0"/>
                <w:i/>
                <w:color w:val="7A6A55"/>
                <w:sz w:val="15"/>
              </w:rPr>
              <w:t>Frage des Buches: „Wird regelmäßig geübt – kann die Hand, was der Ordner sagt?“</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t>☐ keiner</w:t>
            </w:r>
          </w:p>
          <w:p>
            <w:pPr>
              <w:spacing w:after="20" w:line="252" w:lineRule="auto"/>
            </w:pPr>
            <w:r>
              <w:rPr>
                <w:rFonts w:ascii="Aptos" w:hAnsi="Aptos" w:cs="Aptos" w:eastAsia="Aptos"/>
                <w:b w:val="0"/>
                <w:i w:val="0"/>
                <w:sz w:val="16"/>
              </w:rPr>
              <w:t>☐ klein</w:t>
            </w:r>
          </w:p>
          <w:p>
            <w:pPr>
              <w:spacing w:after="20" w:line="252" w:lineRule="auto"/>
            </w:pPr>
            <w:r>
              <w:rPr>
                <w:rFonts w:ascii="Aptos" w:hAnsi="Aptos" w:cs="Aptos" w:eastAsia="Aptos"/>
                <w:b w:val="0"/>
                <w:i w:val="0"/>
                <w:sz w:val="16"/>
              </w:rPr>
              <w:t>☐ deutlich</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Gilt als Beleg: es trägt unter Panik (Tabelle 1, 2.7)</w:t>
            </w:r>
          </w:p>
          <w:p>
            <w:pPr>
              <w:spacing w:after="20" w:line="252" w:lineRule="auto"/>
            </w:pPr>
            <w:r>
              <w:rPr>
                <w:rFonts w:ascii="Aptos" w:hAnsi="Aptos" w:cs="Aptos" w:eastAsia="Aptos"/>
                <w:b w:val="0"/>
                <w:i w:val="0"/>
                <w:sz w:val="16"/>
              </w:rPr>
            </w:r>
          </w:p>
        </w:tc>
      </w:tr>
      <w:tr>
        <w:trPr>
          <w:cantSplit w:val="true"/>
          <w:trHeight w:val="124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sz w:val="16"/>
              </w:rPr>
              <w:t>Vorfall und Meldung (Beinahe-Vorfall)</w:t>
            </w:r>
          </w:p>
          <w:p>
            <w:pPr>
              <w:spacing w:after="20" w:line="252" w:lineRule="auto"/>
            </w:pPr>
            <w:r>
              <w:rPr>
                <w:rFonts w:ascii="Aptos" w:hAnsi="Aptos" w:cs="Aptos" w:eastAsia="Aptos"/>
                <w:b/>
                <w:i w:val="0"/>
                <w:color w:val="8C5A2B"/>
                <w:sz w:val="16"/>
              </w:rPr>
              <w:t>2.8</w:t>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Schein: untersucht  →  Wirklichkeit: gelernt</w:t>
            </w:r>
          </w:p>
          <w:p>
            <w:pPr>
              <w:spacing w:after="20" w:line="252" w:lineRule="auto"/>
            </w:pPr>
            <w:r>
              <w:rPr>
                <w:rFonts w:ascii="Aptos" w:hAnsi="Aptos" w:cs="Aptos" w:eastAsia="Aptos"/>
                <w:b w:val="0"/>
                <w:i/>
                <w:color w:val="7A6A55"/>
                <w:sz w:val="15"/>
              </w:rPr>
              <w:t>Frage des Buches: „Ernte ich den Beinahe-Vorfall – und ist das Melden bei mir straffrei?“</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t>☐ keiner</w:t>
            </w:r>
          </w:p>
          <w:p>
            <w:pPr>
              <w:spacing w:after="20" w:line="252" w:lineRule="auto"/>
            </w:pPr>
            <w:r>
              <w:rPr>
                <w:rFonts w:ascii="Aptos" w:hAnsi="Aptos" w:cs="Aptos" w:eastAsia="Aptos"/>
                <w:b w:val="0"/>
                <w:i w:val="0"/>
                <w:sz w:val="16"/>
              </w:rPr>
              <w:t>☐ klein</w:t>
            </w:r>
          </w:p>
          <w:p>
            <w:pPr>
              <w:spacing w:after="20" w:line="252" w:lineRule="auto"/>
            </w:pPr>
            <w:r>
              <w:rPr>
                <w:rFonts w:ascii="Aptos" w:hAnsi="Aptos" w:cs="Aptos" w:eastAsia="Aptos"/>
                <w:b w:val="0"/>
                <w:i w:val="0"/>
                <w:sz w:val="16"/>
              </w:rPr>
              <w:t>☐ deutlich</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Gilt als Beleg: die Lücke ist gefunden (Tabelle 1, 2.8)</w:t>
            </w:r>
          </w:p>
          <w:p>
            <w:pPr>
              <w:spacing w:after="20" w:line="252" w:lineRule="auto"/>
            </w:pPr>
            <w:r>
              <w:rPr>
                <w:rFonts w:ascii="Aptos" w:hAnsi="Aptos" w:cs="Aptos" w:eastAsia="Aptos"/>
                <w:b w:val="0"/>
                <w:i w:val="0"/>
                <w:sz w:val="16"/>
              </w:rPr>
            </w:r>
          </w:p>
        </w:tc>
      </w:tr>
      <w:tr>
        <w:trPr>
          <w:cantSplit w:val="true"/>
          <w:trHeight w:val="124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sz w:val="16"/>
              </w:rPr>
              <w:t>Begehung und Beobachtung</w:t>
            </w:r>
          </w:p>
          <w:p>
            <w:pPr>
              <w:spacing w:after="20" w:line="252" w:lineRule="auto"/>
            </w:pPr>
            <w:r>
              <w:rPr>
                <w:rFonts w:ascii="Aptos" w:hAnsi="Aptos" w:cs="Aptos" w:eastAsia="Aptos"/>
                <w:b/>
                <w:i w:val="0"/>
                <w:color w:val="8C5A2B"/>
                <w:sz w:val="16"/>
              </w:rPr>
              <w:t>2.9</w:t>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Schein: gemessen  →  Wirklichkeit: verbessert</w:t>
            </w:r>
          </w:p>
          <w:p>
            <w:pPr>
              <w:spacing w:after="20" w:line="252" w:lineRule="auto"/>
            </w:pPr>
            <w:r>
              <w:rPr>
                <w:rFonts w:ascii="Aptos" w:hAnsi="Aptos" w:cs="Aptos" w:eastAsia="Aptos"/>
                <w:b w:val="0"/>
                <w:i/>
                <w:color w:val="7A6A55"/>
                <w:sz w:val="15"/>
              </w:rPr>
              <w:t>Frage des Buches: „Gehe ich wirklich – oder hake ich die Begehung am Schreibtisch ab?“</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t>☐ keiner</w:t>
            </w:r>
          </w:p>
          <w:p>
            <w:pPr>
              <w:spacing w:after="20" w:line="252" w:lineRule="auto"/>
            </w:pPr>
            <w:r>
              <w:rPr>
                <w:rFonts w:ascii="Aptos" w:hAnsi="Aptos" w:cs="Aptos" w:eastAsia="Aptos"/>
                <w:b w:val="0"/>
                <w:i w:val="0"/>
                <w:sz w:val="16"/>
              </w:rPr>
              <w:t>☐ klein</w:t>
            </w:r>
          </w:p>
          <w:p>
            <w:pPr>
              <w:spacing w:after="20" w:line="252" w:lineRule="auto"/>
            </w:pPr>
            <w:r>
              <w:rPr>
                <w:rFonts w:ascii="Aptos" w:hAnsi="Aptos" w:cs="Aptos" w:eastAsia="Aptos"/>
                <w:b w:val="0"/>
                <w:i w:val="0"/>
                <w:sz w:val="16"/>
              </w:rPr>
              <w:t>☐ deutlich</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Gilt als Beleg: die behobene Gefahr (Tabelle 1, 2.9)</w:t>
            </w:r>
          </w:p>
          <w:p>
            <w:pPr>
              <w:spacing w:after="20" w:line="252" w:lineRule="auto"/>
            </w:pPr>
            <w:r>
              <w:rPr>
                <w:rFonts w:ascii="Aptos" w:hAnsi="Aptos" w:cs="Aptos" w:eastAsia="Aptos"/>
                <w:b w:val="0"/>
                <w:i w:val="0"/>
                <w:sz w:val="16"/>
              </w:rPr>
            </w:r>
          </w:p>
        </w:tc>
      </w:tr>
      <w:tr>
        <w:trPr>
          <w:cantSplit w:val="true"/>
          <w:trHeight w:val="124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sz w:val="16"/>
              </w:rPr>
              <w:t>Ordnung und Fluchtwege</w:t>
            </w:r>
          </w:p>
          <w:p>
            <w:pPr>
              <w:spacing w:after="20" w:line="252" w:lineRule="auto"/>
            </w:pPr>
            <w:r>
              <w:rPr>
                <w:rFonts w:ascii="Aptos" w:hAnsi="Aptos" w:cs="Aptos" w:eastAsia="Aptos"/>
                <w:b/>
                <w:i w:val="0"/>
                <w:color w:val="8C5A2B"/>
                <w:sz w:val="16"/>
              </w:rPr>
              <w:t>2.10</w:t>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Schein: sauber  →  Wirklichkeit: sicher</w:t>
            </w:r>
          </w:p>
          <w:p>
            <w:pPr>
              <w:spacing w:after="20" w:line="252" w:lineRule="auto"/>
            </w:pPr>
            <w:r>
              <w:rPr>
                <w:rFonts w:ascii="Aptos" w:hAnsi="Aptos" w:cs="Aptos" w:eastAsia="Aptos"/>
                <w:b w:val="0"/>
                <w:i/>
                <w:color w:val="7A6A55"/>
                <w:sz w:val="15"/>
              </w:rPr>
              <w:t>Frage des Buches: „Halte ich die Wege und Fluchtwege frei – als Funktion, nicht als Schmuck?“</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t>☐ keiner</w:t>
            </w:r>
          </w:p>
          <w:p>
            <w:pPr>
              <w:spacing w:after="20" w:line="252" w:lineRule="auto"/>
            </w:pPr>
            <w:r>
              <w:rPr>
                <w:rFonts w:ascii="Aptos" w:hAnsi="Aptos" w:cs="Aptos" w:eastAsia="Aptos"/>
                <w:b w:val="0"/>
                <w:i w:val="0"/>
                <w:sz w:val="16"/>
              </w:rPr>
              <w:t>☐ klein</w:t>
            </w:r>
          </w:p>
          <w:p>
            <w:pPr>
              <w:spacing w:after="20" w:line="252" w:lineRule="auto"/>
            </w:pPr>
            <w:r>
              <w:rPr>
                <w:rFonts w:ascii="Aptos" w:hAnsi="Aptos" w:cs="Aptos" w:eastAsia="Aptos"/>
                <w:b w:val="0"/>
                <w:i w:val="0"/>
                <w:sz w:val="16"/>
              </w:rPr>
              <w:t>☐ deutlich</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Gilt als Beleg: der Weg ist frei (Tabelle 1, 2.10)</w:t>
            </w:r>
          </w:p>
          <w:p>
            <w:pPr>
              <w:spacing w:after="20" w:line="252" w:lineRule="auto"/>
            </w:pPr>
            <w:r>
              <w:rPr>
                <w:rFonts w:ascii="Aptos" w:hAnsi="Aptos" w:cs="Aptos" w:eastAsia="Aptos"/>
                <w:b w:val="0"/>
                <w:i w:val="0"/>
                <w:sz w:val="16"/>
              </w:rPr>
            </w:r>
          </w:p>
        </w:tc>
      </w:tr>
      <w:tr>
        <w:trPr>
          <w:cantSplit w:val="true"/>
          <w:trHeight w:val="124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sz w:val="16"/>
              </w:rPr>
              <w:t>Psychische Belastung</w:t>
            </w:r>
          </w:p>
          <w:p>
            <w:pPr>
              <w:spacing w:after="20" w:line="252" w:lineRule="auto"/>
            </w:pPr>
            <w:r>
              <w:rPr>
                <w:rFonts w:ascii="Aptos" w:hAnsi="Aptos" w:cs="Aptos" w:eastAsia="Aptos"/>
                <w:b/>
                <w:i w:val="0"/>
                <w:color w:val="8C5A2B"/>
                <w:sz w:val="16"/>
              </w:rPr>
              <w:t>2.11</w:t>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Schein: Belastung erkannt  →  Wirklichkeit: beherrscht</w:t>
            </w:r>
          </w:p>
          <w:p>
            <w:pPr>
              <w:spacing w:after="20" w:line="252" w:lineRule="auto"/>
            </w:pPr>
            <w:r>
              <w:rPr>
                <w:rFonts w:ascii="Aptos" w:hAnsi="Aptos" w:cs="Aptos" w:eastAsia="Aptos"/>
                <w:b w:val="0"/>
                <w:i/>
                <w:color w:val="7A6A55"/>
                <w:sz w:val="15"/>
              </w:rPr>
              <w:t>Frage des Buches: „Folgen der Beurteilung wirkliche Maßnahmen – oder bleibt sie abgeheftet?“</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t>☐ keiner</w:t>
            </w:r>
          </w:p>
          <w:p>
            <w:pPr>
              <w:spacing w:after="20" w:line="252" w:lineRule="auto"/>
            </w:pPr>
            <w:r>
              <w:rPr>
                <w:rFonts w:ascii="Aptos" w:hAnsi="Aptos" w:cs="Aptos" w:eastAsia="Aptos"/>
                <w:b w:val="0"/>
                <w:i w:val="0"/>
                <w:sz w:val="16"/>
              </w:rPr>
              <w:t>☐ klein</w:t>
            </w:r>
          </w:p>
          <w:p>
            <w:pPr>
              <w:spacing w:after="20" w:line="252" w:lineRule="auto"/>
            </w:pPr>
            <w:r>
              <w:rPr>
                <w:rFonts w:ascii="Aptos" w:hAnsi="Aptos" w:cs="Aptos" w:eastAsia="Aptos"/>
                <w:b w:val="0"/>
                <w:i w:val="0"/>
                <w:sz w:val="16"/>
              </w:rPr>
              <w:t>☐ deutlich</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Gilt als Beleg: die Last sinkt wirklich (Reifegrad 2.11)</w:t>
            </w:r>
          </w:p>
          <w:p>
            <w:pPr>
              <w:spacing w:after="20" w:line="252" w:lineRule="auto"/>
            </w:pPr>
            <w:r>
              <w:rPr>
                <w:rFonts w:ascii="Aptos" w:hAnsi="Aptos" w:cs="Aptos" w:eastAsia="Aptos"/>
                <w:b w:val="0"/>
                <w:i w:val="0"/>
                <w:sz w:val="16"/>
              </w:rPr>
            </w:r>
          </w:p>
        </w:tc>
      </w:tr>
      <w:tr>
        <w:trPr>
          <w:cantSplit w:val="true"/>
          <w:trHeight w:val="124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sz w:val="16"/>
              </w:rPr>
              <w:t>Gefährdungsbeurteilung</w:t>
            </w:r>
          </w:p>
          <w:p>
            <w:pPr>
              <w:spacing w:after="20" w:line="252" w:lineRule="auto"/>
            </w:pPr>
            <w:r>
              <w:rPr>
                <w:rFonts w:ascii="Aptos" w:hAnsi="Aptos" w:cs="Aptos" w:eastAsia="Aptos"/>
                <w:b/>
                <w:i w:val="0"/>
                <w:color w:val="8C5A2B"/>
                <w:sz w:val="16"/>
              </w:rPr>
              <w:t>2.12</w:t>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Schein: abgeheftet  →  Wirklichkeit: lebendig</w:t>
            </w:r>
          </w:p>
          <w:p>
            <w:pPr>
              <w:spacing w:after="20" w:line="252" w:lineRule="auto"/>
            </w:pPr>
            <w:r>
              <w:rPr>
                <w:rFonts w:ascii="Aptos" w:hAnsi="Aptos" w:cs="Aptos" w:eastAsia="Aptos"/>
                <w:b w:val="0"/>
                <w:i/>
                <w:color w:val="7A6A55"/>
                <w:sz w:val="15"/>
              </w:rPr>
              <w:t>Frage des Buches: „Beschreibt meine Beurteilung den Betrieb von heute – oder den von gestern?“</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t>☐ keiner</w:t>
            </w:r>
          </w:p>
          <w:p>
            <w:pPr>
              <w:spacing w:after="20" w:line="252" w:lineRule="auto"/>
            </w:pPr>
            <w:r>
              <w:rPr>
                <w:rFonts w:ascii="Aptos" w:hAnsi="Aptos" w:cs="Aptos" w:eastAsia="Aptos"/>
                <w:b w:val="0"/>
                <w:i w:val="0"/>
                <w:sz w:val="16"/>
              </w:rPr>
              <w:t>☐ klein</w:t>
            </w:r>
          </w:p>
          <w:p>
            <w:pPr>
              <w:spacing w:after="20" w:line="252" w:lineRule="auto"/>
            </w:pPr>
            <w:r>
              <w:rPr>
                <w:rFonts w:ascii="Aptos" w:hAnsi="Aptos" w:cs="Aptos" w:eastAsia="Aptos"/>
                <w:b w:val="0"/>
                <w:i w:val="0"/>
                <w:sz w:val="16"/>
              </w:rPr>
              <w:t>☐ deutlich</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Gilt als Beleg: die Lage stimmt (Tabelle 1, 2.12)</w:t>
            </w:r>
          </w:p>
          <w:p>
            <w:pPr>
              <w:spacing w:after="20" w:line="252" w:lineRule="auto"/>
            </w:pPr>
            <w:r>
              <w:rPr>
                <w:rFonts w:ascii="Aptos" w:hAnsi="Aptos" w:cs="Aptos" w:eastAsia="Aptos"/>
                <w:b w:val="0"/>
                <w:i w:val="0"/>
                <w:sz w:val="16"/>
              </w:rPr>
            </w:r>
          </w:p>
        </w:tc>
      </w:tr>
      <w:tr>
        <w:trPr>
          <w:cantSplit w:val="true"/>
          <w:trHeight w:val="124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sz w:val="16"/>
              </w:rPr>
              <w:t>Vorbild und Sicherheitskultur</w:t>
            </w:r>
          </w:p>
          <w:p>
            <w:pPr>
              <w:spacing w:after="20" w:line="252" w:lineRule="auto"/>
            </w:pPr>
            <w:r>
              <w:rPr>
                <w:rFonts w:ascii="Aptos" w:hAnsi="Aptos" w:cs="Aptos" w:eastAsia="Aptos"/>
                <w:b/>
                <w:i w:val="0"/>
                <w:color w:val="8C5A2B"/>
                <w:sz w:val="16"/>
              </w:rPr>
              <w:t>2.13</w:t>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Schein: verkündet  →  Wirklichkeit: gelebt</w:t>
            </w:r>
          </w:p>
          <w:p>
            <w:pPr>
              <w:spacing w:after="20" w:line="252" w:lineRule="auto"/>
            </w:pPr>
            <w:r>
              <w:rPr>
                <w:rFonts w:ascii="Aptos" w:hAnsi="Aptos" w:cs="Aptos" w:eastAsia="Aptos"/>
                <w:b w:val="0"/>
                <w:i/>
                <w:color w:val="7A6A55"/>
                <w:sz w:val="15"/>
              </w:rPr>
              <w:t>Frage des Buches: „Decken sich meine Worte und meine Taten – auch wenn niemand zusieht?“</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t>☐ keiner</w:t>
            </w:r>
          </w:p>
          <w:p>
            <w:pPr>
              <w:spacing w:after="20" w:line="252" w:lineRule="auto"/>
            </w:pPr>
            <w:r>
              <w:rPr>
                <w:rFonts w:ascii="Aptos" w:hAnsi="Aptos" w:cs="Aptos" w:eastAsia="Aptos"/>
                <w:b w:val="0"/>
                <w:i w:val="0"/>
                <w:sz w:val="16"/>
              </w:rPr>
              <w:t>☐ klein</w:t>
            </w:r>
          </w:p>
          <w:p>
            <w:pPr>
              <w:spacing w:after="20" w:line="252" w:lineRule="auto"/>
            </w:pPr>
            <w:r>
              <w:rPr>
                <w:rFonts w:ascii="Aptos" w:hAnsi="Aptos" w:cs="Aptos" w:eastAsia="Aptos"/>
                <w:b w:val="0"/>
                <w:i w:val="0"/>
                <w:sz w:val="16"/>
              </w:rPr>
              <w:t>☐ deutlich</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Gilt als Beleg: die Tat im Verborgenen (Tabelle 1, 2.13)</w:t>
            </w:r>
          </w:p>
          <w:p>
            <w:pPr>
              <w:spacing w:after="20" w:line="252" w:lineRule="auto"/>
            </w:pPr>
            <w:r>
              <w:rPr>
                <w:rFonts w:ascii="Aptos" w:hAnsi="Aptos" w:cs="Aptos" w:eastAsia="Aptos"/>
                <w:b w:val="0"/>
                <w:i w:val="0"/>
                <w:sz w:val="16"/>
              </w:rPr>
            </w:r>
          </w:p>
        </w:tc>
      </w:tr>
      <w:tr>
        <w:trPr>
          <w:cantSplit w:val="true"/>
          <w:trHeight w:val="124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sz w:val="16"/>
              </w:rPr>
              <w:t>Ständige Verbesserung</w:t>
            </w:r>
          </w:p>
          <w:p>
            <w:pPr>
              <w:spacing w:after="20" w:line="252" w:lineRule="auto"/>
            </w:pPr>
            <w:r>
              <w:rPr>
                <w:rFonts w:ascii="Aptos" w:hAnsi="Aptos" w:cs="Aptos" w:eastAsia="Aptos"/>
                <w:b/>
                <w:i w:val="0"/>
                <w:color w:val="8C5A2B"/>
                <w:sz w:val="16"/>
              </w:rPr>
              <w:t>2.14</w:t>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Schein: verändert  →  Wirklichkeit: verbessert</w:t>
            </w:r>
          </w:p>
          <w:p>
            <w:pPr>
              <w:spacing w:after="20" w:line="252" w:lineRule="auto"/>
            </w:pPr>
            <w:r>
              <w:rPr>
                <w:rFonts w:ascii="Aptos" w:hAnsi="Aptos" w:cs="Aptos" w:eastAsia="Aptos"/>
                <w:b w:val="0"/>
                <w:i/>
                <w:color w:val="7A6A55"/>
                <w:sz w:val="15"/>
              </w:rPr>
              <w:t>Frage des Buches: „Schließe ich den Kreis – prüfe und handle ich, oder plane und tue ich nur?“</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t>☐ keiner</w:t>
            </w:r>
          </w:p>
          <w:p>
            <w:pPr>
              <w:spacing w:after="20" w:line="252" w:lineRule="auto"/>
            </w:pPr>
            <w:r>
              <w:rPr>
                <w:rFonts w:ascii="Aptos" w:hAnsi="Aptos" w:cs="Aptos" w:eastAsia="Aptos"/>
                <w:b w:val="0"/>
                <w:i w:val="0"/>
                <w:sz w:val="16"/>
              </w:rPr>
              <w:t>☐ klein</w:t>
            </w:r>
          </w:p>
          <w:p>
            <w:pPr>
              <w:spacing w:after="20" w:line="252" w:lineRule="auto"/>
            </w:pPr>
            <w:r>
              <w:rPr>
                <w:rFonts w:ascii="Aptos" w:hAnsi="Aptos" w:cs="Aptos" w:eastAsia="Aptos"/>
                <w:b w:val="0"/>
                <w:i w:val="0"/>
                <w:sz w:val="16"/>
              </w:rPr>
              <w:t>☐ deutlich</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Gilt als Beleg: stetiger Fortschritt (Tabelle 1, 2.14)</w:t>
            </w:r>
          </w:p>
          <w:p>
            <w:pPr>
              <w:spacing w:after="20" w:line="252" w:lineRule="auto"/>
            </w:pPr>
            <w:r>
              <w:rPr>
                <w:rFonts w:ascii="Aptos" w:hAnsi="Aptos" w:cs="Aptos" w:eastAsia="Aptos"/>
                <w:b w:val="0"/>
                <w:i w:val="0"/>
                <w:sz w:val="16"/>
              </w:rPr>
            </w:r>
          </w:p>
        </w:tc>
      </w:tr>
      <w:tr>
        <w:trPr>
          <w:cantSplit w:val="true"/>
          <w:trHeight w:val="124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sz w:val="16"/>
              </w:rPr>
              <w:t>Weiterer Prozess</w:t>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(z. B. Küche, Housekeeping, Technik, Rezeption/Nacht, Wäscherei, Wellness – Zone nach 1.2)</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t>☐ keiner</w:t>
            </w:r>
          </w:p>
          <w:p>
            <w:pPr>
              <w:spacing w:after="20" w:line="252" w:lineRule="auto"/>
            </w:pPr>
            <w:r>
              <w:rPr>
                <w:rFonts w:ascii="Aptos" w:hAnsi="Aptos" w:cs="Aptos" w:eastAsia="Aptos"/>
                <w:b w:val="0"/>
                <w:i w:val="0"/>
                <w:sz w:val="16"/>
              </w:rPr>
              <w:t>☐ klein</w:t>
            </w:r>
          </w:p>
          <w:p>
            <w:pPr>
              <w:spacing w:after="20" w:line="252" w:lineRule="auto"/>
            </w:pPr>
            <w:r>
              <w:rPr>
                <w:rFonts w:ascii="Aptos" w:hAnsi="Aptos" w:cs="Aptos" w:eastAsia="Aptos"/>
                <w:b w:val="0"/>
                <w:i w:val="0"/>
                <w:sz w:val="16"/>
              </w:rPr>
              <w:t>☐ deutlich</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r>
      <w:tr>
        <w:trPr>
          <w:cantSplit w:val="true"/>
          <w:trHeight w:val="124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20" w:line="252" w:lineRule="auto"/>
            </w:pPr>
            <w:r>
              <w:rPr>
                <w:rFonts w:ascii="Aptos" w:hAnsi="Aptos" w:cs="Aptos" w:eastAsia="Aptos"/>
                <w:b/>
                <w:i w:val="0"/>
                <w:sz w:val="16"/>
              </w:rPr>
              <w:t>Weiterer Prozess</w:t>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t>☐ keiner</w:t>
            </w:r>
          </w:p>
          <w:p>
            <w:pPr>
              <w:spacing w:after="20" w:line="252" w:lineRule="auto"/>
            </w:pPr>
            <w:r>
              <w:rPr>
                <w:rFonts w:ascii="Aptos" w:hAnsi="Aptos" w:cs="Aptos" w:eastAsia="Aptos"/>
                <w:b w:val="0"/>
                <w:i w:val="0"/>
                <w:sz w:val="16"/>
              </w:rPr>
              <w:t>☐ klein</w:t>
            </w:r>
          </w:p>
          <w:p>
            <w:pPr>
              <w:spacing w:after="20" w:line="252" w:lineRule="auto"/>
            </w:pPr>
            <w:r>
              <w:rPr>
                <w:rFonts w:ascii="Aptos" w:hAnsi="Aptos" w:cs="Aptos" w:eastAsia="Aptos"/>
                <w:b w:val="0"/>
                <w:i w:val="0"/>
                <w:sz w:val="16"/>
              </w:rPr>
              <w:t>☐ deutlich</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r>
    </w:tbl>
    <w:p>
      <w:pPr>
        <w:spacing w:after="60"/>
      </w:pPr>
    </w:p>
    <w:p>
      <w:pPr>
        <w:keepNext/>
        <w:spacing w:before="160" w:after="60"/>
      </w:pPr>
      <w:r>
        <w:rPr>
          <w:rFonts w:ascii="Aptos" w:hAnsi="Aptos" w:cs="Aptos" w:eastAsia="Aptos"/>
          <w:b/>
          <w:color w:val="8C5A2B"/>
          <w:sz w:val="23"/>
        </w:rPr>
        <w:t>Zusammenfassung Bogen A</w:t>
      </w:r>
    </w:p>
    <w:tbl>
      <w:tblPr>
        <w:tblW w:type="auto" w:w="0"/>
        <w:jc w:val="center"/>
        <w:tblLayout w:type="fixed"/>
        <w:tblLook w:firstColumn="1" w:firstRow="1" w:lastColumn="0" w:lastRow="0" w:noHBand="0" w:noVBand="1" w:val="04A0"/>
      </w:tblPr>
      <w:tblGrid>
        <w:gridCol w:w="3515"/>
        <w:gridCol w:w="1587"/>
        <w:gridCol w:w="1587"/>
        <w:gridCol w:w="1587"/>
        <w:gridCol w:w="6860"/>
      </w:tblGrid>
      <w:tr>
        <w:trPr>
          <w:tblHeader w:val="true"/>
        </w:trPr>
        <w:tc>
          <w:tcPr>
            <w:tcW w:type="dxa" w:w="351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Anzahl der Zeilen mit Abstand</w:t>
            </w:r>
          </w:p>
        </w:tc>
        <w:tc>
          <w:tcPr>
            <w:tcW w:type="dxa" w:w="158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keiner</w:t>
            </w:r>
          </w:p>
        </w:tc>
        <w:tc>
          <w:tcPr>
            <w:tcW w:type="dxa" w:w="158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klein</w:t>
            </w:r>
          </w:p>
        </w:tc>
        <w:tc>
          <w:tcPr>
            <w:tcW w:type="dxa" w:w="158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deutlich</w:t>
            </w:r>
          </w:p>
        </w:tc>
        <w:tc>
          <w:tcPr>
            <w:tcW w:type="dxa" w:w="686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Lage des Hauses (Tabelle 2, 1.7)</w:t>
            </w:r>
          </w:p>
        </w:tc>
      </w:tr>
      <w:tr>
        <w:trPr>
          <w:cantSplit w:val="true"/>
          <w:trHeight w:val="453" w:hRule="atLeast"/>
        </w:trPr>
        <w:tc>
          <w:tcPr>
            <w:tcW w:type="dxa" w:w="351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t xml:space="preserve"> </w:t>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t xml:space="preserve"> </w:t>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t xml:space="preserve"> </w:t>
            </w:r>
          </w:p>
        </w:tc>
        <w:tc>
          <w:tcPr>
            <w:tcW w:type="dxa" w:w="686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t>☐ Kein System   ☐ Papier   ☐ Gelebt, lückig   ☐ Gelebt, belegt</w:t>
            </w:r>
          </w:p>
        </w:tc>
      </w:tr>
    </w:tbl>
    <w:p>
      <w:pPr>
        <w:spacing w:after="60"/>
      </w:pPr>
    </w:p>
    <w:tbl>
      <w:tblPr>
        <w:tblW w:type="auto" w:w="0"/>
        <w:jc w:val="center"/>
        <w:tblLayout w:type="fixed"/>
        <w:tblLook w:firstColumn="1" w:firstRow="1" w:lastColumn="0" w:lastRow="0" w:noHBand="0" w:noVBand="1" w:val="04A0"/>
      </w:tblPr>
      <w:tblGrid>
        <w:gridCol w:w="2948"/>
        <w:gridCol w:w="3628"/>
        <w:gridCol w:w="3628"/>
        <w:gridCol w:w="2154"/>
        <w:gridCol w:w="2778"/>
      </w:tblGrid>
      <w:tr>
        <w:trPr>
          <w:tblHeader w:val="true"/>
        </w:trPr>
        <w:tc>
          <w:tcPr>
            <w:tcW w:type="dxa" w:w="294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Die drei größten Abstände (Abschnitt)</w:t>
            </w:r>
          </w:p>
        </w:tc>
        <w:tc>
          <w:tcPr>
            <w:tcW w:type="dxa" w:w="36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Ursache (nicht: Schuldiger)</w:t>
            </w:r>
          </w:p>
        </w:tc>
        <w:tc>
          <w:tcPr>
            <w:tcW w:type="dxa" w:w="36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Maßnahme</w:t>
            </w:r>
          </w:p>
        </w:tc>
        <w:tc>
          <w:tcPr>
            <w:tcW w:type="dxa" w:w="215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Verantwortlich</w:t>
            </w:r>
          </w:p>
        </w:tc>
        <w:tc>
          <w:tcPr>
            <w:tcW w:type="dxa" w:w="277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Bis wann (Festlegung des Hauses)</w:t>
            </w:r>
          </w:p>
        </w:tc>
      </w:tr>
      <w:tr>
        <w:trPr>
          <w:cantSplit w:val="true"/>
          <w:trHeight w:val="510" w:hRule="atLeast"/>
        </w:trPr>
        <w:tc>
          <w:tcPr>
            <w:tcW w:type="dxa" w:w="294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t>1.</w:t>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21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277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r>
      <w:tr>
        <w:trPr>
          <w:cantSplit w:val="true"/>
          <w:trHeight w:val="510" w:hRule="atLeast"/>
        </w:trPr>
        <w:tc>
          <w:tcPr>
            <w:tcW w:type="dxa" w:w="294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t>2.</w:t>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21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277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r>
      <w:tr>
        <w:trPr>
          <w:cantSplit w:val="true"/>
          <w:trHeight w:val="510" w:hRule="atLeast"/>
        </w:trPr>
        <w:tc>
          <w:tcPr>
            <w:tcW w:type="dxa" w:w="294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t>3.</w:t>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21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c>
          <w:tcPr>
            <w:tcW w:type="dxa" w:w="277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8"/>
              </w:rPr>
            </w:r>
          </w:p>
        </w:tc>
      </w:tr>
    </w:tbl>
    <w:p>
      <w:pPr>
        <w:keepNext/>
        <w:pageBreakBefore/>
        <w:spacing w:before="280" w:after="80"/>
        <w:pBdr>
          <w:bottom w:val="single" w:sz="6" w:space="2" w:color="C9BBA6"/>
        </w:pBdr>
      </w:pPr>
      <w:r>
        <w:rPr>
          <w:rFonts w:ascii="Aptos" w:hAnsi="Aptos" w:cs="Aptos" w:eastAsia="Aptos"/>
          <w:b/>
          <w:color w:val="8C5A2B"/>
          <w:sz w:val="28"/>
        </w:rPr>
        <w:t>Bogen B – Prädiktive Sicherheits-KPI</w:t>
      </w:r>
    </w:p>
    <w:p>
      <w:pPr>
        <w:spacing w:after="60"/>
      </w:pPr>
      <w:r>
        <w:rPr>
          <w:rFonts w:ascii="Aptos" w:hAnsi="Aptos" w:cs="Aptos" w:eastAsia="Aptos"/>
          <w:b w:val="0"/>
          <w:i w:val="0"/>
          <w:sz w:val="18"/>
        </w:rPr>
        <w:t>Das Buch schreibt keine einzige Kennzahl vor: Nach 9.1.1 bestimmt das Haus selbst, was es überwacht und misst, mit welchen Methoden, nach welchen Kriterien und wann (1.8). Wählen Sie unten drei bis fünf Frühindikatoren nach den heißesten Risiken Ihres Hauses (☐ Wahl); der Katalog nennt nur Indikatoren, die das Buch selbst nennt. Schwellenwerte gibt diese Vorlage nicht vor: Sie sind Festlegung des Hauses.</w:t>
      </w:r>
    </w:p>
    <w:tbl>
      <w:tblPr>
        <w:tblW w:type="auto" w:w="0"/>
        <w:jc w:val="center"/>
        <w:tblLayout w:type="fixed"/>
        <w:tblLook w:firstColumn="1" w:firstRow="1" w:lastColumn="0" w:lastRow="0" w:noHBand="0" w:noVBand="1" w:val="04A0"/>
      </w:tblPr>
      <w:tblGrid>
        <w:gridCol w:w="510"/>
        <w:gridCol w:w="3572"/>
        <w:gridCol w:w="2381"/>
        <w:gridCol w:w="1757"/>
        <w:gridCol w:w="2041"/>
        <w:gridCol w:w="1757"/>
        <w:gridCol w:w="1134"/>
        <w:gridCol w:w="1928"/>
      </w:tblGrid>
      <w:tr>
        <w:trPr>
          <w:tblHeader w:val="true"/>
        </w:trPr>
        <w:tc>
          <w:tcPr>
            <w:tcW w:type="dxa" w:w="51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w:t>
            </w:r>
          </w:p>
        </w:tc>
        <w:tc>
          <w:tcPr>
            <w:tcW w:type="dxa" w:w="357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Frühindikator (Abschnitt) und Lesart des Buches</w:t>
            </w:r>
          </w:p>
        </w:tc>
        <w:tc>
          <w:tcPr>
            <w:tcW w:type="dxa" w:w="238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Definition / Bezugsgröße</w:t>
            </w:r>
          </w:p>
        </w:tc>
        <w:tc>
          <w:tcPr>
            <w:tcW w:type="dxa" w:w="175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Quelle im Haus</w:t>
            </w:r>
          </w:p>
        </w:tc>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Erhebungs-intervall</w:t>
            </w:r>
          </w:p>
        </w:tc>
        <w:tc>
          <w:tcPr>
            <w:tcW w:type="dxa" w:w="175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Schwellenwert</w:t>
            </w:r>
          </w:p>
        </w:tc>
        <w:tc>
          <w:tcPr>
            <w:tcW w:type="dxa" w:w="113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Eigentümer</w:t>
            </w:r>
          </w:p>
        </w:tc>
        <w:tc>
          <w:tcPr>
            <w:tcW w:type="dxa" w:w="19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Werte und Trend</w:t>
            </w:r>
          </w:p>
        </w:tc>
      </w:tr>
      <w:tr>
        <w:trPr>
          <w:cantSplit w:val="true"/>
          <w:trHeight w:val="907"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5"/>
              </w:rPr>
              <w:t>Beinahe-Meldequote</w:t>
            </w:r>
            <w:r>
              <w:rPr>
                <w:rFonts w:ascii="Aptos" w:hAnsi="Aptos" w:cs="Aptos" w:eastAsia="Aptos"/>
                <w:b w:val="0"/>
                <w:i w:val="0"/>
                <w:color w:val="8C5A2B"/>
                <w:sz w:val="15"/>
              </w:rPr>
              <w:t xml:space="preserve">  (1.8, 2.9)</w:t>
            </w:r>
          </w:p>
          <w:p>
            <w:pPr>
              <w:spacing w:after="20" w:line="252" w:lineRule="auto"/>
            </w:pPr>
            <w:r>
              <w:rPr>
                <w:rFonts w:ascii="Aptos" w:hAnsi="Aptos" w:cs="Aptos" w:eastAsia="Aptos"/>
                <w:b w:val="0"/>
                <w:i/>
                <w:color w:val="7A6A55"/>
                <w:sz w:val="15"/>
              </w:rPr>
              <w:t>Steigend meist gut („die Front spricht“), nie ohne Abgleich mit Exposition, möglicher Schwere, erledigten Maßnahmen; sinkend oder null: oft schlechte Nachricht.</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t>Gemeldete Beinahe-Unfälle je festgelegter Bezugsgröße (Beispiel des Buches: je Abteilung und Monat).</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Vorfall- und Beinaheunfall-Meldebogen (Plattform) oder Strichliste – auch handschriftlich (1.8).</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4"/>
              </w:rPr>
              <w:t>☐ wöchentlich  ☐ monatlich</w:t>
            </w:r>
          </w:p>
          <w:p>
            <w:pPr>
              <w:spacing w:after="20" w:line="252" w:lineRule="auto"/>
            </w:pPr>
            <w:r>
              <w:rPr>
                <w:rFonts w:ascii="Aptos" w:hAnsi="Aptos" w:cs="Aptos" w:eastAsia="Aptos"/>
                <w:b w:val="0"/>
                <w:i w:val="0"/>
                <w:sz w:val="14"/>
              </w:rPr>
              <w:t>☐ quartalsweise  ☐ jährlich</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Festlegung des Hauses:</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Handeln ab / bei:</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Name:</w:t>
            </w:r>
          </w:p>
          <w:p>
            <w:pPr>
              <w:spacing w:after="20" w:line="252" w:lineRule="auto"/>
            </w:pPr>
            <w:r>
              <w:rPr>
                <w:rFonts w:ascii="Aptos" w:hAnsi="Aptos" w:cs="Aptos" w:eastAsia="Aptos"/>
                <w:b w:val="0"/>
                <w:i w:val="0"/>
                <w:sz w:val="15"/>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Werte (letzte 3):</w:t>
            </w:r>
          </w:p>
          <w:p>
            <w:pPr>
              <w:spacing w:after="20" w:line="252" w:lineRule="auto"/>
            </w:pPr>
            <w:r>
              <w:rPr>
                <w:rFonts w:ascii="Aptos" w:hAnsi="Aptos" w:cs="Aptos" w:eastAsia="Aptos"/>
                <w:b w:val="0"/>
                <w:i w:val="0"/>
                <w:sz w:val="16"/>
              </w:rPr>
              <w:t>___ / ___ / ___</w:t>
            </w:r>
          </w:p>
          <w:p>
            <w:pPr>
              <w:spacing w:after="20" w:line="252" w:lineRule="auto"/>
            </w:pPr>
            <w:r>
              <w:rPr>
                <w:rFonts w:ascii="Aptos" w:hAnsi="Aptos" w:cs="Aptos" w:eastAsia="Aptos"/>
                <w:b w:val="0"/>
                <w:i w:val="0"/>
                <w:sz w:val="16"/>
              </w:rPr>
              <w:t>Trend ☐ ↑  ☐ →  ☐ ↓</w:t>
            </w:r>
          </w:p>
        </w:tc>
      </w:tr>
      <w:tr>
        <w:trPr>
          <w:cantSplit w:val="true"/>
          <w:trHeight w:val="907"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5"/>
              </w:rPr>
              <w:t>Begehungsquote</w:t>
            </w:r>
            <w:r>
              <w:rPr>
                <w:rFonts w:ascii="Aptos" w:hAnsi="Aptos" w:cs="Aptos" w:eastAsia="Aptos"/>
                <w:b w:val="0"/>
                <w:i w:val="0"/>
                <w:color w:val="8C5A2B"/>
                <w:sz w:val="15"/>
              </w:rPr>
              <w:t xml:space="preserve">  (1.8, 2.9)</w:t>
            </w:r>
          </w:p>
          <w:p>
            <w:pPr>
              <w:spacing w:after="20" w:line="252" w:lineRule="auto"/>
            </w:pPr>
            <w:r>
              <w:rPr>
                <w:rFonts w:ascii="Aptos" w:hAnsi="Aptos" w:cs="Aptos" w:eastAsia="Aptos"/>
                <w:b w:val="0"/>
                <w:i/>
                <w:color w:val="7A6A55"/>
                <w:sz w:val="15"/>
              </w:rPr>
              <w:t>Zählt das Gehen, nicht das Gesehene: neben Gefundenem und Behobenem lesen (2.9).</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t>Durchgeführte Begehungen im Verhältnis zu den vom Haus festgelegten (Vorschlag).</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Begehungsprotokoll (Plattform).</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4"/>
              </w:rPr>
              <w:t>☐ wöchentlich  ☐ monatlich</w:t>
            </w:r>
          </w:p>
          <w:p>
            <w:pPr>
              <w:spacing w:after="20" w:line="252" w:lineRule="auto"/>
            </w:pPr>
            <w:r>
              <w:rPr>
                <w:rFonts w:ascii="Aptos" w:hAnsi="Aptos" w:cs="Aptos" w:eastAsia="Aptos"/>
                <w:b w:val="0"/>
                <w:i w:val="0"/>
                <w:sz w:val="14"/>
              </w:rPr>
              <w:t>☐ quartalsweise  ☐ jährlich</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Festlegung des Hauses:</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Handeln ab / bei:</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Name:</w:t>
            </w:r>
          </w:p>
          <w:p>
            <w:pPr>
              <w:spacing w:after="20" w:line="252" w:lineRule="auto"/>
            </w:pPr>
            <w:r>
              <w:rPr>
                <w:rFonts w:ascii="Aptos" w:hAnsi="Aptos" w:cs="Aptos" w:eastAsia="Aptos"/>
                <w:b w:val="0"/>
                <w:i w:val="0"/>
                <w:sz w:val="15"/>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Werte (letzte 3):</w:t>
            </w:r>
          </w:p>
          <w:p>
            <w:pPr>
              <w:spacing w:after="20" w:line="252" w:lineRule="auto"/>
            </w:pPr>
            <w:r>
              <w:rPr>
                <w:rFonts w:ascii="Aptos" w:hAnsi="Aptos" w:cs="Aptos" w:eastAsia="Aptos"/>
                <w:b w:val="0"/>
                <w:i w:val="0"/>
                <w:sz w:val="16"/>
              </w:rPr>
              <w:t>___ / ___ / ___</w:t>
            </w:r>
          </w:p>
          <w:p>
            <w:pPr>
              <w:spacing w:after="20" w:line="252" w:lineRule="auto"/>
            </w:pPr>
            <w:r>
              <w:rPr>
                <w:rFonts w:ascii="Aptos" w:hAnsi="Aptos" w:cs="Aptos" w:eastAsia="Aptos"/>
                <w:b w:val="0"/>
                <w:i w:val="0"/>
                <w:sz w:val="16"/>
              </w:rPr>
              <w:t>Trend ☐ ↑  ☐ →  ☐ ↓</w:t>
            </w:r>
          </w:p>
        </w:tc>
      </w:tr>
      <w:tr>
        <w:trPr>
          <w:cantSplit w:val="true"/>
          <w:trHeight w:val="907"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5"/>
              </w:rPr>
              <w:t>Schulungsquote (Unterweisung)</w:t>
            </w:r>
            <w:r>
              <w:rPr>
                <w:rFonts w:ascii="Aptos" w:hAnsi="Aptos" w:cs="Aptos" w:eastAsia="Aptos"/>
                <w:b w:val="0"/>
                <w:i w:val="0"/>
                <w:color w:val="8C5A2B"/>
                <w:sz w:val="15"/>
              </w:rPr>
              <w:t xml:space="preserve">  (1.8, 2.3)</w:t>
            </w:r>
          </w:p>
          <w:p>
            <w:pPr>
              <w:spacing w:after="20" w:line="252" w:lineRule="auto"/>
            </w:pPr>
            <w:r>
              <w:rPr>
                <w:rFonts w:ascii="Aptos" w:hAnsi="Aptos" w:cs="Aptos" w:eastAsia="Aptos"/>
                <w:b w:val="0"/>
                <w:i/>
                <w:color w:val="7A6A55"/>
                <w:sz w:val="15"/>
              </w:rPr>
              <w:t>Anwesenheit ist nicht Können: neben der Vorführung lesen; „die Unterschrift beweist nur Anwesenheit“.</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t>Erfolgte Schulungen/Unterweisungen im Verhältnis zu den festgelegten (Vorschlag).</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Unterweisungsnachweis (Plattform).</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4"/>
              </w:rPr>
              <w:t>☐ wöchentlich  ☐ monatlich</w:t>
            </w:r>
          </w:p>
          <w:p>
            <w:pPr>
              <w:spacing w:after="20" w:line="252" w:lineRule="auto"/>
            </w:pPr>
            <w:r>
              <w:rPr>
                <w:rFonts w:ascii="Aptos" w:hAnsi="Aptos" w:cs="Aptos" w:eastAsia="Aptos"/>
                <w:b w:val="0"/>
                <w:i w:val="0"/>
                <w:sz w:val="14"/>
              </w:rPr>
              <w:t>☐ quartalsweise  ☐ jährlich</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Festlegung des Hauses:</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Handeln ab / bei:</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Name:</w:t>
            </w:r>
          </w:p>
          <w:p>
            <w:pPr>
              <w:spacing w:after="20" w:line="252" w:lineRule="auto"/>
            </w:pPr>
            <w:r>
              <w:rPr>
                <w:rFonts w:ascii="Aptos" w:hAnsi="Aptos" w:cs="Aptos" w:eastAsia="Aptos"/>
                <w:b w:val="0"/>
                <w:i w:val="0"/>
                <w:sz w:val="15"/>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Werte (letzte 3):</w:t>
            </w:r>
          </w:p>
          <w:p>
            <w:pPr>
              <w:spacing w:after="20" w:line="252" w:lineRule="auto"/>
            </w:pPr>
            <w:r>
              <w:rPr>
                <w:rFonts w:ascii="Aptos" w:hAnsi="Aptos" w:cs="Aptos" w:eastAsia="Aptos"/>
                <w:b w:val="0"/>
                <w:i w:val="0"/>
                <w:sz w:val="16"/>
              </w:rPr>
              <w:t>___ / ___ / ___</w:t>
            </w:r>
          </w:p>
          <w:p>
            <w:pPr>
              <w:spacing w:after="20" w:line="252" w:lineRule="auto"/>
            </w:pPr>
            <w:r>
              <w:rPr>
                <w:rFonts w:ascii="Aptos" w:hAnsi="Aptos" w:cs="Aptos" w:eastAsia="Aptos"/>
                <w:b w:val="0"/>
                <w:i w:val="0"/>
                <w:sz w:val="16"/>
              </w:rPr>
              <w:t>Trend ☐ ↑  ☐ →  ☐ ↓</w:t>
            </w:r>
          </w:p>
        </w:tc>
      </w:tr>
      <w:tr>
        <w:trPr>
          <w:cantSplit w:val="true"/>
          <w:trHeight w:val="907"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5"/>
              </w:rPr>
              <w:t>Zeit von der Meldung bis zur Behebung</w:t>
            </w:r>
            <w:r>
              <w:rPr>
                <w:rFonts w:ascii="Aptos" w:hAnsi="Aptos" w:cs="Aptos" w:eastAsia="Aptos"/>
                <w:b w:val="0"/>
                <w:i w:val="0"/>
                <w:color w:val="8C5A2B"/>
                <w:sz w:val="15"/>
              </w:rPr>
              <w:t xml:space="preserve">  (1.8, 1.9)</w:t>
            </w:r>
          </w:p>
          <w:p>
            <w:pPr>
              <w:spacing w:after="20" w:line="252" w:lineRule="auto"/>
            </w:pPr>
            <w:r>
              <w:rPr>
                <w:rFonts w:ascii="Aptos" w:hAnsi="Aptos" w:cs="Aptos" w:eastAsia="Aptos"/>
                <w:b w:val="0"/>
                <w:i/>
                <w:color w:val="7A6A55"/>
                <w:sz w:val="15"/>
              </w:rPr>
              <w:t>Wächst sie in einem Bereich (Beispiel 1.9: Housekeeping), zeigt das, wo die nächste Investition am dringendsten gebraucht wird.</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t>Zeitspanne von der Meldung einer Gefährdung bis zur Behebung; behobene Gefährdungen.</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Maßnahmenplan (Plattform), Meldedatum.</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4"/>
              </w:rPr>
              <w:t>☐ wöchentlich  ☐ monatlich</w:t>
            </w:r>
          </w:p>
          <w:p>
            <w:pPr>
              <w:spacing w:after="20" w:line="252" w:lineRule="auto"/>
            </w:pPr>
            <w:r>
              <w:rPr>
                <w:rFonts w:ascii="Aptos" w:hAnsi="Aptos" w:cs="Aptos" w:eastAsia="Aptos"/>
                <w:b w:val="0"/>
                <w:i w:val="0"/>
                <w:sz w:val="14"/>
              </w:rPr>
              <w:t>☐ quartalsweise  ☐ jährlich</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Festlegung des Hauses:</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Handeln ab / bei:</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Name:</w:t>
            </w:r>
          </w:p>
          <w:p>
            <w:pPr>
              <w:spacing w:after="20" w:line="252" w:lineRule="auto"/>
            </w:pPr>
            <w:r>
              <w:rPr>
                <w:rFonts w:ascii="Aptos" w:hAnsi="Aptos" w:cs="Aptos" w:eastAsia="Aptos"/>
                <w:b w:val="0"/>
                <w:i w:val="0"/>
                <w:sz w:val="15"/>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Werte (letzte 3):</w:t>
            </w:r>
          </w:p>
          <w:p>
            <w:pPr>
              <w:spacing w:after="20" w:line="252" w:lineRule="auto"/>
            </w:pPr>
            <w:r>
              <w:rPr>
                <w:rFonts w:ascii="Aptos" w:hAnsi="Aptos" w:cs="Aptos" w:eastAsia="Aptos"/>
                <w:b w:val="0"/>
                <w:i w:val="0"/>
                <w:sz w:val="16"/>
              </w:rPr>
              <w:t>___ / ___ / ___</w:t>
            </w:r>
          </w:p>
          <w:p>
            <w:pPr>
              <w:spacing w:after="20" w:line="252" w:lineRule="auto"/>
            </w:pPr>
            <w:r>
              <w:rPr>
                <w:rFonts w:ascii="Aptos" w:hAnsi="Aptos" w:cs="Aptos" w:eastAsia="Aptos"/>
                <w:b w:val="0"/>
                <w:i w:val="0"/>
                <w:sz w:val="16"/>
              </w:rPr>
              <w:t>Trend ☐ ↑  ☐ →  ☐ ↓</w:t>
            </w:r>
          </w:p>
        </w:tc>
      </w:tr>
      <w:tr>
        <w:trPr>
          <w:cantSplit w:val="true"/>
          <w:trHeight w:val="907"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5"/>
              </w:rPr>
              <w:t>Beteiligungsquote</w:t>
            </w:r>
            <w:r>
              <w:rPr>
                <w:rFonts w:ascii="Aptos" w:hAnsi="Aptos" w:cs="Aptos" w:eastAsia="Aptos"/>
                <w:b w:val="0"/>
                <w:i w:val="0"/>
                <w:color w:val="8C5A2B"/>
                <w:sz w:val="15"/>
              </w:rPr>
              <w:t xml:space="preserve">  (1.8, 1.4)</w:t>
            </w:r>
          </w:p>
          <w:p>
            <w:pPr>
              <w:spacing w:after="20" w:line="252" w:lineRule="auto"/>
            </w:pPr>
            <w:r>
              <w:rPr>
                <w:rFonts w:ascii="Aptos" w:hAnsi="Aptos" w:cs="Aptos" w:eastAsia="Aptos"/>
                <w:b w:val="0"/>
                <w:i/>
                <w:color w:val="7A6A55"/>
                <w:sz w:val="15"/>
              </w:rPr>
              <w:t>Beteiligung der nicht-leitenden Beschäftigten an Entscheidungen verfolgen, nicht nur die Zahl der Sitzungen (1.4).</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t>Beteiligung der Front, je festgelegter Bezugsgröße.</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4"/>
              </w:rPr>
              <w:t>☐ wöchentlich  ☐ monatlich</w:t>
            </w:r>
          </w:p>
          <w:p>
            <w:pPr>
              <w:spacing w:after="20" w:line="252" w:lineRule="auto"/>
            </w:pPr>
            <w:r>
              <w:rPr>
                <w:rFonts w:ascii="Aptos" w:hAnsi="Aptos" w:cs="Aptos" w:eastAsia="Aptos"/>
                <w:b w:val="0"/>
                <w:i w:val="0"/>
                <w:sz w:val="14"/>
              </w:rPr>
              <w:t>☐ quartalsweise  ☐ jährlich</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Festlegung des Hauses:</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Handeln ab / bei:</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Name:</w:t>
            </w:r>
          </w:p>
          <w:p>
            <w:pPr>
              <w:spacing w:after="20" w:line="252" w:lineRule="auto"/>
            </w:pPr>
            <w:r>
              <w:rPr>
                <w:rFonts w:ascii="Aptos" w:hAnsi="Aptos" w:cs="Aptos" w:eastAsia="Aptos"/>
                <w:b w:val="0"/>
                <w:i w:val="0"/>
                <w:sz w:val="15"/>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Werte (letzte 3):</w:t>
            </w:r>
          </w:p>
          <w:p>
            <w:pPr>
              <w:spacing w:after="20" w:line="252" w:lineRule="auto"/>
            </w:pPr>
            <w:r>
              <w:rPr>
                <w:rFonts w:ascii="Aptos" w:hAnsi="Aptos" w:cs="Aptos" w:eastAsia="Aptos"/>
                <w:b w:val="0"/>
                <w:i w:val="0"/>
                <w:sz w:val="16"/>
              </w:rPr>
              <w:t>___ / ___ / ___</w:t>
            </w:r>
          </w:p>
          <w:p>
            <w:pPr>
              <w:spacing w:after="20" w:line="252" w:lineRule="auto"/>
            </w:pPr>
            <w:r>
              <w:rPr>
                <w:rFonts w:ascii="Aptos" w:hAnsi="Aptos" w:cs="Aptos" w:eastAsia="Aptos"/>
                <w:b w:val="0"/>
                <w:i w:val="0"/>
                <w:sz w:val="16"/>
              </w:rPr>
              <w:t>Trend ☐ ↑  ☐ →  ☐ ↓</w:t>
            </w:r>
          </w:p>
        </w:tc>
      </w:tr>
      <w:tr>
        <w:trPr>
          <w:cantSplit w:val="true"/>
          <w:trHeight w:val="907"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5"/>
              </w:rPr>
              <w:t>Quote beantworteter Hinweise</w:t>
            </w:r>
            <w:r>
              <w:rPr>
                <w:rFonts w:ascii="Aptos" w:hAnsi="Aptos" w:cs="Aptos" w:eastAsia="Aptos"/>
                <w:b w:val="0"/>
                <w:i w:val="0"/>
                <w:color w:val="8C5A2B"/>
                <w:sz w:val="15"/>
              </w:rPr>
              <w:t xml:space="preserve">  (1.4, 1.1)</w:t>
            </w:r>
          </w:p>
          <w:p>
            <w:pPr>
              <w:spacing w:after="20" w:line="252" w:lineRule="auto"/>
            </w:pPr>
            <w:r>
              <w:rPr>
                <w:rFonts w:ascii="Aptos" w:hAnsi="Aptos" w:cs="Aptos" w:eastAsia="Aptos"/>
                <w:b w:val="0"/>
                <w:i/>
                <w:color w:val="7A6A55"/>
                <w:sz w:val="15"/>
              </w:rPr>
              <w:t>Jede Meldung erhält eine Antwort (1.4); der Briefkasten „gesammelt, nie beantwortet“ ist Stufe 2.</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t>Beantwortete im Verhältnis zu den eingegangenen Hinweisen; unbeantwortete Hinweise.</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4"/>
              </w:rPr>
              <w:t>☐ wöchentlich  ☐ monatlich</w:t>
            </w:r>
          </w:p>
          <w:p>
            <w:pPr>
              <w:spacing w:after="20" w:line="252" w:lineRule="auto"/>
            </w:pPr>
            <w:r>
              <w:rPr>
                <w:rFonts w:ascii="Aptos" w:hAnsi="Aptos" w:cs="Aptos" w:eastAsia="Aptos"/>
                <w:b w:val="0"/>
                <w:i w:val="0"/>
                <w:sz w:val="14"/>
              </w:rPr>
              <w:t>☐ quartalsweise  ☐ jährlich</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Festlegung des Hauses:</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Handeln ab / bei:</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Name:</w:t>
            </w:r>
          </w:p>
          <w:p>
            <w:pPr>
              <w:spacing w:after="20" w:line="252" w:lineRule="auto"/>
            </w:pPr>
            <w:r>
              <w:rPr>
                <w:rFonts w:ascii="Aptos" w:hAnsi="Aptos" w:cs="Aptos" w:eastAsia="Aptos"/>
                <w:b w:val="0"/>
                <w:i w:val="0"/>
                <w:sz w:val="15"/>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Werte (letzte 3):</w:t>
            </w:r>
          </w:p>
          <w:p>
            <w:pPr>
              <w:spacing w:after="20" w:line="252" w:lineRule="auto"/>
            </w:pPr>
            <w:r>
              <w:rPr>
                <w:rFonts w:ascii="Aptos" w:hAnsi="Aptos" w:cs="Aptos" w:eastAsia="Aptos"/>
                <w:b w:val="0"/>
                <w:i w:val="0"/>
                <w:sz w:val="16"/>
              </w:rPr>
              <w:t>___ / ___ / ___</w:t>
            </w:r>
          </w:p>
          <w:p>
            <w:pPr>
              <w:spacing w:after="20" w:line="252" w:lineRule="auto"/>
            </w:pPr>
            <w:r>
              <w:rPr>
                <w:rFonts w:ascii="Aptos" w:hAnsi="Aptos" w:cs="Aptos" w:eastAsia="Aptos"/>
                <w:b w:val="0"/>
                <w:i w:val="0"/>
                <w:sz w:val="16"/>
              </w:rPr>
              <w:t>Trend ☐ ↑  ☐ →  ☐ ↓</w:t>
            </w:r>
          </w:p>
        </w:tc>
      </w:tr>
      <w:tr>
        <w:trPr>
          <w:cantSplit w:val="true"/>
          <w:trHeight w:val="907"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5"/>
              </w:rPr>
              <w:t>Belastungsspitzen</w:t>
            </w:r>
            <w:r>
              <w:rPr>
                <w:rFonts w:ascii="Aptos" w:hAnsi="Aptos" w:cs="Aptos" w:eastAsia="Aptos"/>
                <w:b w:val="0"/>
                <w:i w:val="0"/>
                <w:color w:val="8C5A2B"/>
                <w:sz w:val="15"/>
              </w:rPr>
              <w:t xml:space="preserve">  (1.1, 2.11)</w:t>
            </w:r>
          </w:p>
          <w:p>
            <w:pPr>
              <w:spacing w:after="20" w:line="252" w:lineRule="auto"/>
            </w:pPr>
            <w:r>
              <w:rPr>
                <w:rFonts w:ascii="Aptos" w:hAnsi="Aptos" w:cs="Aptos" w:eastAsia="Aptos"/>
                <w:b w:val="0"/>
                <w:i/>
                <w:color w:val="7A6A55"/>
                <w:sz w:val="15"/>
              </w:rPr>
              <w:t>Vom Buch nicht näher bestimmt; das Haus legt fest, was als Spitze gilt.</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t>Das Haus bestimmt (2.11 nennt: Arbeitszeit, Nachtarbeit, Besetzung, Spitzendruck).</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4"/>
              </w:rPr>
              <w:t>☐ wöchentlich  ☐ monatlich</w:t>
            </w:r>
          </w:p>
          <w:p>
            <w:pPr>
              <w:spacing w:after="20" w:line="252" w:lineRule="auto"/>
            </w:pPr>
            <w:r>
              <w:rPr>
                <w:rFonts w:ascii="Aptos" w:hAnsi="Aptos" w:cs="Aptos" w:eastAsia="Aptos"/>
                <w:b w:val="0"/>
                <w:i w:val="0"/>
                <w:sz w:val="14"/>
              </w:rPr>
              <w:t>☐ quartalsweise  ☐ jährlich</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Festlegung des Hauses:</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Handeln ab / bei:</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Name:</w:t>
            </w:r>
          </w:p>
          <w:p>
            <w:pPr>
              <w:spacing w:after="20" w:line="252" w:lineRule="auto"/>
            </w:pPr>
            <w:r>
              <w:rPr>
                <w:rFonts w:ascii="Aptos" w:hAnsi="Aptos" w:cs="Aptos" w:eastAsia="Aptos"/>
                <w:b w:val="0"/>
                <w:i w:val="0"/>
                <w:sz w:val="15"/>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Werte (letzte 3):</w:t>
            </w:r>
          </w:p>
          <w:p>
            <w:pPr>
              <w:spacing w:after="20" w:line="252" w:lineRule="auto"/>
            </w:pPr>
            <w:r>
              <w:rPr>
                <w:rFonts w:ascii="Aptos" w:hAnsi="Aptos" w:cs="Aptos" w:eastAsia="Aptos"/>
                <w:b w:val="0"/>
                <w:i w:val="0"/>
                <w:sz w:val="16"/>
              </w:rPr>
              <w:t>___ / ___ / ___</w:t>
            </w:r>
          </w:p>
          <w:p>
            <w:pPr>
              <w:spacing w:after="20" w:line="252" w:lineRule="auto"/>
            </w:pPr>
            <w:r>
              <w:rPr>
                <w:rFonts w:ascii="Aptos" w:hAnsi="Aptos" w:cs="Aptos" w:eastAsia="Aptos"/>
                <w:b w:val="0"/>
                <w:i w:val="0"/>
                <w:sz w:val="16"/>
              </w:rPr>
              <w:t>Trend ☐ ↑  ☐ →  ☐ ↓</w:t>
            </w:r>
          </w:p>
        </w:tc>
      </w:tr>
      <w:tr>
        <w:trPr>
          <w:cantSplit w:val="true"/>
          <w:trHeight w:val="907"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5"/>
              </w:rPr>
              <w:t>Gefundene und behobene Gefahren</w:t>
            </w:r>
            <w:r>
              <w:rPr>
                <w:rFonts w:ascii="Aptos" w:hAnsi="Aptos" w:cs="Aptos" w:eastAsia="Aptos"/>
                <w:b w:val="0"/>
                <w:i w:val="0"/>
                <w:color w:val="8C5A2B"/>
                <w:sz w:val="15"/>
              </w:rPr>
              <w:t xml:space="preserve">  (2.9)</w:t>
            </w:r>
          </w:p>
          <w:p>
            <w:pPr>
              <w:spacing w:after="20" w:line="252" w:lineRule="auto"/>
            </w:pPr>
            <w:r>
              <w:rPr>
                <w:rFonts w:ascii="Aptos" w:hAnsi="Aptos" w:cs="Aptos" w:eastAsia="Aptos"/>
                <w:b w:val="0"/>
                <w:i/>
                <w:color w:val="7A6A55"/>
                <w:sz w:val="15"/>
              </w:rPr>
              <w:t>Die gefundene und nicht behobene Gefahr ist schlimmer als die übersehene; prüfen, ob Behobenes behoben bleibt.</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t>Bei Begehungen gefundene Gefahren; davon behoben; davon dauerhaft behoben.</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Begehungsprotokoll (Plattform).</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4"/>
              </w:rPr>
              <w:t>☐ wöchentlich  ☐ monatlich</w:t>
            </w:r>
          </w:p>
          <w:p>
            <w:pPr>
              <w:spacing w:after="20" w:line="252" w:lineRule="auto"/>
            </w:pPr>
            <w:r>
              <w:rPr>
                <w:rFonts w:ascii="Aptos" w:hAnsi="Aptos" w:cs="Aptos" w:eastAsia="Aptos"/>
                <w:b w:val="0"/>
                <w:i w:val="0"/>
                <w:sz w:val="14"/>
              </w:rPr>
              <w:t>☐ quartalsweise  ☐ jährlich</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Festlegung des Hauses:</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Handeln ab / bei:</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Name:</w:t>
            </w:r>
          </w:p>
          <w:p>
            <w:pPr>
              <w:spacing w:after="20" w:line="252" w:lineRule="auto"/>
            </w:pPr>
            <w:r>
              <w:rPr>
                <w:rFonts w:ascii="Aptos" w:hAnsi="Aptos" w:cs="Aptos" w:eastAsia="Aptos"/>
                <w:b w:val="0"/>
                <w:i w:val="0"/>
                <w:sz w:val="15"/>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Werte (letzte 3):</w:t>
            </w:r>
          </w:p>
          <w:p>
            <w:pPr>
              <w:spacing w:after="20" w:line="252" w:lineRule="auto"/>
            </w:pPr>
            <w:r>
              <w:rPr>
                <w:rFonts w:ascii="Aptos" w:hAnsi="Aptos" w:cs="Aptos" w:eastAsia="Aptos"/>
                <w:b w:val="0"/>
                <w:i w:val="0"/>
                <w:sz w:val="16"/>
              </w:rPr>
              <w:t>___ / ___ / ___</w:t>
            </w:r>
          </w:p>
          <w:p>
            <w:pPr>
              <w:spacing w:after="20" w:line="252" w:lineRule="auto"/>
            </w:pPr>
            <w:r>
              <w:rPr>
                <w:rFonts w:ascii="Aptos" w:hAnsi="Aptos" w:cs="Aptos" w:eastAsia="Aptos"/>
                <w:b w:val="0"/>
                <w:i w:val="0"/>
                <w:sz w:val="16"/>
              </w:rPr>
              <w:t>Trend ☐ ↑  ☐ →  ☐ ↓</w:t>
            </w:r>
          </w:p>
        </w:tc>
      </w:tr>
      <w:tr>
        <w:trPr>
          <w:cantSplit w:val="true"/>
          <w:trHeight w:val="907"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5"/>
              </w:rPr>
              <w:t>Abgeschlossene Maßnahmen, Reaktionszeiten</w:t>
            </w:r>
            <w:r>
              <w:rPr>
                <w:rFonts w:ascii="Aptos" w:hAnsi="Aptos" w:cs="Aptos" w:eastAsia="Aptos"/>
                <w:b w:val="0"/>
                <w:i w:val="0"/>
                <w:color w:val="8C5A2B"/>
                <w:sz w:val="15"/>
              </w:rPr>
              <w:t xml:space="preserve">  (1.8)</w:t>
            </w:r>
          </w:p>
          <w:p>
            <w:pPr>
              <w:spacing w:after="20" w:line="252" w:lineRule="auto"/>
            </w:pPr>
            <w:r>
              <w:rPr>
                <w:rFonts w:ascii="Aptos" w:hAnsi="Aptos" w:cs="Aptos" w:eastAsia="Aptos"/>
                <w:b w:val="0"/>
                <w:i/>
                <w:color w:val="7A6A55"/>
                <w:sz w:val="15"/>
              </w:rPr>
              <w:t>Neben Meldungen und Kontrollen lesen (1.8).</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t>Abgeschlossene Maßnahmen und Reaktionszeiten, je festgelegter Bezugsgröße.</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Maßnahmenplan (Plattform).</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4"/>
              </w:rPr>
              <w:t>☐ wöchentlich  ☐ monatlich</w:t>
            </w:r>
          </w:p>
          <w:p>
            <w:pPr>
              <w:spacing w:after="20" w:line="252" w:lineRule="auto"/>
            </w:pPr>
            <w:r>
              <w:rPr>
                <w:rFonts w:ascii="Aptos" w:hAnsi="Aptos" w:cs="Aptos" w:eastAsia="Aptos"/>
                <w:b w:val="0"/>
                <w:i w:val="0"/>
                <w:sz w:val="14"/>
              </w:rPr>
              <w:t>☐ quartalsweise  ☐ jährlich</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Festlegung des Hauses:</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Handeln ab / bei:</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Name:</w:t>
            </w:r>
          </w:p>
          <w:p>
            <w:pPr>
              <w:spacing w:after="20" w:line="252" w:lineRule="auto"/>
            </w:pPr>
            <w:r>
              <w:rPr>
                <w:rFonts w:ascii="Aptos" w:hAnsi="Aptos" w:cs="Aptos" w:eastAsia="Aptos"/>
                <w:b w:val="0"/>
                <w:i w:val="0"/>
                <w:sz w:val="15"/>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Werte (letzte 3):</w:t>
            </w:r>
          </w:p>
          <w:p>
            <w:pPr>
              <w:spacing w:after="20" w:line="252" w:lineRule="auto"/>
            </w:pPr>
            <w:r>
              <w:rPr>
                <w:rFonts w:ascii="Aptos" w:hAnsi="Aptos" w:cs="Aptos" w:eastAsia="Aptos"/>
                <w:b w:val="0"/>
                <w:i w:val="0"/>
                <w:sz w:val="16"/>
              </w:rPr>
              <w:t>___ / ___ / ___</w:t>
            </w:r>
          </w:p>
          <w:p>
            <w:pPr>
              <w:spacing w:after="20" w:line="252" w:lineRule="auto"/>
            </w:pPr>
            <w:r>
              <w:rPr>
                <w:rFonts w:ascii="Aptos" w:hAnsi="Aptos" w:cs="Aptos" w:eastAsia="Aptos"/>
                <w:b w:val="0"/>
                <w:i w:val="0"/>
                <w:sz w:val="16"/>
              </w:rPr>
              <w:t>Trend ☐ ↑  ☐ →  ☐ ↓</w:t>
            </w:r>
          </w:p>
        </w:tc>
      </w:tr>
      <w:tr>
        <w:trPr>
          <w:cantSplit w:val="true"/>
          <w:trHeight w:val="907"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5"/>
              </w:rPr>
              <w:t>Fehlzeiten</w:t>
            </w:r>
            <w:r>
              <w:rPr>
                <w:rFonts w:ascii="Aptos" w:hAnsi="Aptos" w:cs="Aptos" w:eastAsia="Aptos"/>
                <w:b w:val="0"/>
                <w:i w:val="0"/>
                <w:color w:val="8C5A2B"/>
                <w:sz w:val="15"/>
              </w:rPr>
              <w:t xml:space="preserve">  (1.5)</w:t>
            </w:r>
          </w:p>
          <w:p>
            <w:pPr>
              <w:spacing w:after="20" w:line="252" w:lineRule="auto"/>
            </w:pPr>
            <w:r>
              <w:rPr>
                <w:rFonts w:ascii="Aptos" w:hAnsi="Aptos" w:cs="Aptos" w:eastAsia="Aptos"/>
                <w:b w:val="0"/>
                <w:i/>
                <w:color w:val="7A6A55"/>
                <w:sz w:val="15"/>
              </w:rPr>
              <w:t>Stilles Signal: Frühindikator schleichender Schäden.</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t>Fehlzeiten je Abteilung (Bezugsgröße: Festlegung des Hauses).</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4"/>
              </w:rPr>
              <w:t>☐ wöchentlich  ☐ monatlich</w:t>
            </w:r>
          </w:p>
          <w:p>
            <w:pPr>
              <w:spacing w:after="20" w:line="252" w:lineRule="auto"/>
            </w:pPr>
            <w:r>
              <w:rPr>
                <w:rFonts w:ascii="Aptos" w:hAnsi="Aptos" w:cs="Aptos" w:eastAsia="Aptos"/>
                <w:b w:val="0"/>
                <w:i w:val="0"/>
                <w:sz w:val="14"/>
              </w:rPr>
              <w:t>☐ quartalsweise  ☐ jährlich</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Festlegung des Hauses:</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Handeln ab / bei:</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Name:</w:t>
            </w:r>
          </w:p>
          <w:p>
            <w:pPr>
              <w:spacing w:after="20" w:line="252" w:lineRule="auto"/>
            </w:pPr>
            <w:r>
              <w:rPr>
                <w:rFonts w:ascii="Aptos" w:hAnsi="Aptos" w:cs="Aptos" w:eastAsia="Aptos"/>
                <w:b w:val="0"/>
                <w:i w:val="0"/>
                <w:sz w:val="15"/>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Werte (letzte 3):</w:t>
            </w:r>
          </w:p>
          <w:p>
            <w:pPr>
              <w:spacing w:after="20" w:line="252" w:lineRule="auto"/>
            </w:pPr>
            <w:r>
              <w:rPr>
                <w:rFonts w:ascii="Aptos" w:hAnsi="Aptos" w:cs="Aptos" w:eastAsia="Aptos"/>
                <w:b w:val="0"/>
                <w:i w:val="0"/>
                <w:sz w:val="16"/>
              </w:rPr>
              <w:t>___ / ___ / ___</w:t>
            </w:r>
          </w:p>
          <w:p>
            <w:pPr>
              <w:spacing w:after="20" w:line="252" w:lineRule="auto"/>
            </w:pPr>
            <w:r>
              <w:rPr>
                <w:rFonts w:ascii="Aptos" w:hAnsi="Aptos" w:cs="Aptos" w:eastAsia="Aptos"/>
                <w:b w:val="0"/>
                <w:i w:val="0"/>
                <w:sz w:val="16"/>
              </w:rPr>
              <w:t>Trend ☐ ↑  ☐ →  ☐ ↓</w:t>
            </w:r>
          </w:p>
        </w:tc>
      </w:tr>
      <w:tr>
        <w:trPr>
          <w:cantSplit w:val="true"/>
          <w:trHeight w:val="907"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5"/>
              </w:rPr>
              <w:t>Fluktuation</w:t>
            </w:r>
            <w:r>
              <w:rPr>
                <w:rFonts w:ascii="Aptos" w:hAnsi="Aptos" w:cs="Aptos" w:eastAsia="Aptos"/>
                <w:b w:val="0"/>
                <w:i w:val="0"/>
                <w:color w:val="8C5A2B"/>
                <w:sz w:val="15"/>
              </w:rPr>
              <w:t xml:space="preserve">  (1.5, 1.14)</w:t>
            </w:r>
          </w:p>
          <w:p>
            <w:pPr>
              <w:spacing w:after="20" w:line="252" w:lineRule="auto"/>
            </w:pPr>
            <w:r>
              <w:rPr>
                <w:rFonts w:ascii="Aptos" w:hAnsi="Aptos" w:cs="Aptos" w:eastAsia="Aptos"/>
                <w:b w:val="0"/>
                <w:i/>
                <w:color w:val="7A6A55"/>
                <w:sz w:val="15"/>
              </w:rPr>
              <w:t>„Der ehrlichste Indikator des Vorteils“ (1.14); steht schon in den eigenen Büchern.</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t>Fluktuation je Abteilung (Bezugsgröße: Festlegung des Hauses).</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4"/>
              </w:rPr>
              <w:t>☐ wöchentlich  ☐ monatlich</w:t>
            </w:r>
          </w:p>
          <w:p>
            <w:pPr>
              <w:spacing w:after="20" w:line="252" w:lineRule="auto"/>
            </w:pPr>
            <w:r>
              <w:rPr>
                <w:rFonts w:ascii="Aptos" w:hAnsi="Aptos" w:cs="Aptos" w:eastAsia="Aptos"/>
                <w:b w:val="0"/>
                <w:i w:val="0"/>
                <w:sz w:val="14"/>
              </w:rPr>
              <w:t>☐ quartalsweise  ☐ jährlich</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Festlegung des Hauses:</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Handeln ab / bei:</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Name:</w:t>
            </w:r>
          </w:p>
          <w:p>
            <w:pPr>
              <w:spacing w:after="20" w:line="252" w:lineRule="auto"/>
            </w:pPr>
            <w:r>
              <w:rPr>
                <w:rFonts w:ascii="Aptos" w:hAnsi="Aptos" w:cs="Aptos" w:eastAsia="Aptos"/>
                <w:b w:val="0"/>
                <w:i w:val="0"/>
                <w:sz w:val="15"/>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Werte (letzte 3):</w:t>
            </w:r>
          </w:p>
          <w:p>
            <w:pPr>
              <w:spacing w:after="20" w:line="252" w:lineRule="auto"/>
            </w:pPr>
            <w:r>
              <w:rPr>
                <w:rFonts w:ascii="Aptos" w:hAnsi="Aptos" w:cs="Aptos" w:eastAsia="Aptos"/>
                <w:b w:val="0"/>
                <w:i w:val="0"/>
                <w:sz w:val="16"/>
              </w:rPr>
              <w:t>___ / ___ / ___</w:t>
            </w:r>
          </w:p>
          <w:p>
            <w:pPr>
              <w:spacing w:after="20" w:line="252" w:lineRule="auto"/>
            </w:pPr>
            <w:r>
              <w:rPr>
                <w:rFonts w:ascii="Aptos" w:hAnsi="Aptos" w:cs="Aptos" w:eastAsia="Aptos"/>
                <w:b w:val="0"/>
                <w:i w:val="0"/>
                <w:sz w:val="16"/>
              </w:rPr>
              <w:t>Trend ☐ ↑  ☐ →  ☐ ↓</w:t>
            </w:r>
          </w:p>
        </w:tc>
      </w:tr>
      <w:tr>
        <w:trPr>
          <w:cantSplit w:val="true"/>
          <w:trHeight w:val="907"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5"/>
              </w:rPr>
              <w:t>Wiederkehrende Beschwerden</w:t>
            </w:r>
            <w:r>
              <w:rPr>
                <w:rFonts w:ascii="Aptos" w:hAnsi="Aptos" w:cs="Aptos" w:eastAsia="Aptos"/>
                <w:b w:val="0"/>
                <w:i w:val="0"/>
                <w:color w:val="8C5A2B"/>
                <w:sz w:val="15"/>
              </w:rPr>
              <w:t xml:space="preserve">  (1.5)</w:t>
            </w:r>
          </w:p>
          <w:p>
            <w:pPr>
              <w:spacing w:after="20" w:line="252" w:lineRule="auto"/>
            </w:pPr>
            <w:r>
              <w:rPr>
                <w:rFonts w:ascii="Aptos" w:hAnsi="Aptos" w:cs="Aptos" w:eastAsia="Aptos"/>
                <w:b w:val="0"/>
                <w:i/>
                <w:color w:val="7A6A55"/>
                <w:sz w:val="15"/>
              </w:rPr>
              <w:t>Stilles Signal: Frühindikator schleichender Schäden.</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t>Wiederkehrende Beschwerden je Abteilung.</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4"/>
              </w:rPr>
              <w:t>☐ wöchentlich  ☐ monatlich</w:t>
            </w:r>
          </w:p>
          <w:p>
            <w:pPr>
              <w:spacing w:after="20" w:line="252" w:lineRule="auto"/>
            </w:pPr>
            <w:r>
              <w:rPr>
                <w:rFonts w:ascii="Aptos" w:hAnsi="Aptos" w:cs="Aptos" w:eastAsia="Aptos"/>
                <w:b w:val="0"/>
                <w:i w:val="0"/>
                <w:sz w:val="14"/>
              </w:rPr>
              <w:t>☐ quartalsweise  ☐ jährlich</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Festlegung des Hauses:</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Handeln ab / bei:</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Name:</w:t>
            </w:r>
          </w:p>
          <w:p>
            <w:pPr>
              <w:spacing w:after="20" w:line="252" w:lineRule="auto"/>
            </w:pPr>
            <w:r>
              <w:rPr>
                <w:rFonts w:ascii="Aptos" w:hAnsi="Aptos" w:cs="Aptos" w:eastAsia="Aptos"/>
                <w:b w:val="0"/>
                <w:i w:val="0"/>
                <w:sz w:val="15"/>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Werte (letzte 3):</w:t>
            </w:r>
          </w:p>
          <w:p>
            <w:pPr>
              <w:spacing w:after="20" w:line="252" w:lineRule="auto"/>
            </w:pPr>
            <w:r>
              <w:rPr>
                <w:rFonts w:ascii="Aptos" w:hAnsi="Aptos" w:cs="Aptos" w:eastAsia="Aptos"/>
                <w:b w:val="0"/>
                <w:i w:val="0"/>
                <w:sz w:val="16"/>
              </w:rPr>
              <w:t>___ / ___ / ___</w:t>
            </w:r>
          </w:p>
          <w:p>
            <w:pPr>
              <w:spacing w:after="20" w:line="252" w:lineRule="auto"/>
            </w:pPr>
            <w:r>
              <w:rPr>
                <w:rFonts w:ascii="Aptos" w:hAnsi="Aptos" w:cs="Aptos" w:eastAsia="Aptos"/>
                <w:b w:val="0"/>
                <w:i w:val="0"/>
                <w:sz w:val="16"/>
              </w:rPr>
              <w:t>Trend ☐ ↑  ☐ →  ☐ ↓</w:t>
            </w:r>
          </w:p>
        </w:tc>
      </w:tr>
      <w:tr>
        <w:trPr>
          <w:cantSplit w:val="true"/>
          <w:trHeight w:val="907"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color w:val="8C5A2B"/>
                <w:sz w:val="22"/>
              </w:rPr>
              <w:t>☐</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5"/>
              </w:rPr>
              <w:t>Eigener Indikator</w:t>
            </w:r>
            <w:r>
              <w:rPr>
                <w:rFonts w:ascii="Aptos" w:hAnsi="Aptos" w:cs="Aptos" w:eastAsia="Aptos"/>
                <w:b w:val="0"/>
                <w:i w:val="0"/>
                <w:color w:val="8C5A2B"/>
                <w:sz w:val="15"/>
              </w:rPr>
              <w:t xml:space="preserve">  (Festlegung des Hauses)</w:t>
            </w:r>
          </w:p>
          <w:p>
            <w:pPr>
              <w:spacing w:after="20" w:line="252" w:lineRule="auto"/>
            </w:pPr>
            <w:r>
              <w:rPr>
                <w:rFonts w:ascii="Aptos" w:hAnsi="Aptos" w:cs="Aptos" w:eastAsia="Aptos"/>
                <w:b w:val="0"/>
                <w:i/>
                <w:color w:val="7A6A55"/>
                <w:sz w:val="15"/>
              </w:rPr>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4"/>
              </w:rPr>
              <w:t>☐ wöchentlich  ☐ monatlich</w:t>
            </w:r>
          </w:p>
          <w:p>
            <w:pPr>
              <w:spacing w:after="20" w:line="252" w:lineRule="auto"/>
            </w:pPr>
            <w:r>
              <w:rPr>
                <w:rFonts w:ascii="Aptos" w:hAnsi="Aptos" w:cs="Aptos" w:eastAsia="Aptos"/>
                <w:b w:val="0"/>
                <w:i w:val="0"/>
                <w:sz w:val="14"/>
              </w:rPr>
              <w:t>☐ quartalsweise  ☐ jährlich</w:t>
            </w:r>
          </w:p>
        </w:tc>
        <w:tc>
          <w:tcPr>
            <w:tcW w:type="dxa" w:w="175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Festlegung des Hauses:</w:t>
            </w:r>
          </w:p>
          <w:p>
            <w:pPr>
              <w:spacing w:after="20" w:line="252" w:lineRule="auto"/>
            </w:pPr>
            <w:r>
              <w:rPr>
                <w:rFonts w:ascii="Aptos" w:hAnsi="Aptos" w:cs="Aptos" w:eastAsia="Aptos"/>
                <w:b w:val="0"/>
                <w:i w:val="0"/>
                <w:sz w:val="15"/>
              </w:rPr>
            </w:r>
          </w:p>
          <w:p>
            <w:pPr>
              <w:spacing w:after="20" w:line="252" w:lineRule="auto"/>
            </w:pPr>
            <w:r>
              <w:rPr>
                <w:rFonts w:ascii="Aptos" w:hAnsi="Aptos" w:cs="Aptos" w:eastAsia="Aptos"/>
                <w:b w:val="0"/>
                <w:i/>
                <w:color w:val="7A6A55"/>
                <w:sz w:val="15"/>
              </w:rPr>
              <w:t>Handeln ab / bei:</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Name:</w:t>
            </w:r>
          </w:p>
          <w:p>
            <w:pPr>
              <w:spacing w:after="20" w:line="252" w:lineRule="auto"/>
            </w:pPr>
            <w:r>
              <w:rPr>
                <w:rFonts w:ascii="Aptos" w:hAnsi="Aptos" w:cs="Aptos" w:eastAsia="Aptos"/>
                <w:b w:val="0"/>
                <w:i w:val="0"/>
                <w:sz w:val="15"/>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Werte (letzte 3):</w:t>
            </w:r>
          </w:p>
          <w:p>
            <w:pPr>
              <w:spacing w:after="20" w:line="252" w:lineRule="auto"/>
            </w:pPr>
            <w:r>
              <w:rPr>
                <w:rFonts w:ascii="Aptos" w:hAnsi="Aptos" w:cs="Aptos" w:eastAsia="Aptos"/>
                <w:b w:val="0"/>
                <w:i w:val="0"/>
                <w:sz w:val="16"/>
              </w:rPr>
              <w:t>___ / ___ / ___</w:t>
            </w:r>
          </w:p>
          <w:p>
            <w:pPr>
              <w:spacing w:after="20" w:line="252" w:lineRule="auto"/>
            </w:pPr>
            <w:r>
              <w:rPr>
                <w:rFonts w:ascii="Aptos" w:hAnsi="Aptos" w:cs="Aptos" w:eastAsia="Aptos"/>
                <w:b w:val="0"/>
                <w:i w:val="0"/>
                <w:sz w:val="16"/>
              </w:rPr>
              <w:t>Trend ☐ ↑  ☐ →  ☐ ↓</w:t>
            </w:r>
          </w:p>
        </w:tc>
      </w:tr>
    </w:tbl>
    <w:p>
      <w:pPr>
        <w:spacing w:after="80"/>
      </w:pPr>
    </w:p>
    <w:p>
      <w:pPr>
        <w:keepNext/>
        <w:spacing w:before="160" w:after="60"/>
      </w:pPr>
      <w:r>
        <w:rPr>
          <w:rFonts w:ascii="Aptos" w:hAnsi="Aptos" w:cs="Aptos" w:eastAsia="Aptos"/>
          <w:b/>
          <w:color w:val="8C5A2B"/>
          <w:sz w:val="23"/>
        </w:rPr>
        <w:t>Spätindikatoren: das Gegenstück bleibt nötig</w:t>
      </w:r>
    </w:p>
    <w:p>
      <w:pPr>
        <w:spacing w:after="60"/>
      </w:pPr>
      <w:r>
        <w:rPr>
          <w:rFonts w:ascii="Aptos" w:hAnsi="Aptos" w:cs="Aptos" w:eastAsia="Aptos"/>
          <w:b w:val="0"/>
          <w:i w:val="0"/>
          <w:sz w:val="18"/>
        </w:rPr>
        <w:t>„Der Unfall, einmal geschehen, muss gezählt und untersucht werden; ohne ihn fehlte der Maßstab der Schwere“ (1.8). Eine Null ist mehrdeutig – Sicherheit, Glück oder Schweigen – und durch Schweigen senkbar; darum nie an Bonus oder Strafe koppeln und neben die Frühindikatoren stellen.</w:t>
      </w:r>
    </w:p>
    <w:tbl>
      <w:tblPr>
        <w:tblW w:type="auto" w:w="0"/>
        <w:jc w:val="center"/>
        <w:tblLayout w:type="fixed"/>
        <w:tblLook w:firstColumn="1" w:firstRow="1" w:lastColumn="0" w:lastRow="0" w:noHBand="0" w:noVBand="1" w:val="04A0"/>
      </w:tblPr>
      <w:tblGrid>
        <w:gridCol w:w="2608"/>
        <w:gridCol w:w="2041"/>
        <w:gridCol w:w="2041"/>
        <w:gridCol w:w="2154"/>
        <w:gridCol w:w="3628"/>
        <w:gridCol w:w="1474"/>
        <w:gridCol w:w="1191"/>
      </w:tblGrid>
      <w:tr>
        <w:trPr>
          <w:tblHeader w:val="true"/>
        </w:trPr>
        <w:tc>
          <w:tcPr>
            <w:tcW w:type="dxa" w:w="260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Spätindikator (Abschnitt)</w:t>
            </w:r>
          </w:p>
        </w:tc>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Meldeweg</w:t>
            </w:r>
          </w:p>
        </w:tc>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Quelle im Haus</w:t>
            </w:r>
          </w:p>
        </w:tc>
        <w:tc>
          <w:tcPr>
            <w:tcW w:type="dxa" w:w="215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Erhebungsintervall</w:t>
            </w:r>
          </w:p>
        </w:tc>
        <w:tc>
          <w:tcPr>
            <w:tcW w:type="dxa" w:w="36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Eigenbewertung der Null (Sicherheit – Glück – Schweigen?)</w:t>
            </w:r>
          </w:p>
        </w:tc>
        <w:tc>
          <w:tcPr>
            <w:tcW w:type="dxa" w:w="147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Eigentümer</w:t>
            </w:r>
          </w:p>
        </w:tc>
        <w:tc>
          <w:tcPr>
            <w:tcW w:type="dxa" w:w="119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Werte</w:t>
            </w:r>
          </w:p>
        </w:tc>
      </w:tr>
      <w:tr>
        <w:trPr>
          <w:cantSplit w:val="true"/>
          <w:trHeight w:val="595"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6"/>
              </w:rPr>
              <w:t>Unfälle</w:t>
            </w:r>
            <w:r>
              <w:rPr>
                <w:rFonts w:ascii="Aptos" w:hAnsi="Aptos" w:cs="Aptos" w:eastAsia="Aptos"/>
                <w:b w:val="0"/>
                <w:i w:val="0"/>
                <w:color w:val="8C5A2B"/>
                <w:sz w:val="15"/>
              </w:rPr>
              <w:t xml:space="preserve">  (1.8)</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1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t>☐ monatlich  ☐ quartalsweise  ☐ jährlich</w:t>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Abgleich mit Frühindikatoren, Begehungen, Meldungen:</w:t>
            </w:r>
          </w:p>
          <w:p>
            <w:pPr>
              <w:spacing w:after="20" w:line="252" w:lineRule="auto"/>
            </w:pPr>
            <w:r>
              <w:rPr>
                <w:rFonts w:ascii="Aptos" w:hAnsi="Aptos" w:cs="Aptos" w:eastAsia="Aptos"/>
                <w:b w:val="0"/>
                <w:i w:val="0"/>
                <w:sz w:val="16"/>
              </w:rPr>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Name:</w:t>
            </w:r>
          </w:p>
        </w:tc>
        <w:tc>
          <w:tcPr>
            <w:tcW w:type="dxa" w:w="119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___ / ___ / ___</w:t>
            </w:r>
          </w:p>
        </w:tc>
      </w:tr>
      <w:tr>
        <w:trPr>
          <w:cantSplit w:val="true"/>
          <w:trHeight w:val="595"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6"/>
              </w:rPr>
              <w:t>Ausfalltage</w:t>
            </w:r>
            <w:r>
              <w:rPr>
                <w:rFonts w:ascii="Aptos" w:hAnsi="Aptos" w:cs="Aptos" w:eastAsia="Aptos"/>
                <w:b w:val="0"/>
                <w:i w:val="0"/>
                <w:color w:val="8C5A2B"/>
                <w:sz w:val="15"/>
              </w:rPr>
              <w:t xml:space="preserve">  (1.8)</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1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t>☐ monatlich  ☐ quartalsweise  ☐ jährlich</w:t>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Abgleich mit Frühindikatoren, Begehungen, Meldungen:</w:t>
            </w:r>
          </w:p>
          <w:p>
            <w:pPr>
              <w:spacing w:after="20" w:line="252" w:lineRule="auto"/>
            </w:pPr>
            <w:r>
              <w:rPr>
                <w:rFonts w:ascii="Aptos" w:hAnsi="Aptos" w:cs="Aptos" w:eastAsia="Aptos"/>
                <w:b w:val="0"/>
                <w:i w:val="0"/>
                <w:sz w:val="16"/>
              </w:rPr>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Name:</w:t>
            </w:r>
          </w:p>
        </w:tc>
        <w:tc>
          <w:tcPr>
            <w:tcW w:type="dxa" w:w="119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___ / ___ / ___</w:t>
            </w:r>
          </w:p>
        </w:tc>
      </w:tr>
      <w:tr>
        <w:trPr>
          <w:cantSplit w:val="true"/>
          <w:trHeight w:val="595"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6"/>
              </w:rPr>
              <w:t>Berufskrankheiten</w:t>
            </w:r>
            <w:r>
              <w:rPr>
                <w:rFonts w:ascii="Aptos" w:hAnsi="Aptos" w:cs="Aptos" w:eastAsia="Aptos"/>
                <w:b w:val="0"/>
                <w:i w:val="0"/>
                <w:color w:val="8C5A2B"/>
                <w:sz w:val="15"/>
              </w:rPr>
              <w:t xml:space="preserve">  (1.8)</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6"/>
              </w:rPr>
            </w:r>
          </w:p>
        </w:tc>
        <w:tc>
          <w:tcPr>
            <w:tcW w:type="dxa" w:w="21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5"/>
              </w:rPr>
              <w:t>☐ monatlich  ☐ quartalsweise  ☐ jährlich</w:t>
            </w:r>
          </w:p>
        </w:tc>
        <w:tc>
          <w:tcPr>
            <w:tcW w:type="dxa" w:w="36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Abgleich mit Frühindikatoren, Begehungen, Meldungen:</w:t>
            </w:r>
          </w:p>
          <w:p>
            <w:pPr>
              <w:spacing w:after="20" w:line="252" w:lineRule="auto"/>
            </w:pPr>
            <w:r>
              <w:rPr>
                <w:rFonts w:ascii="Aptos" w:hAnsi="Aptos" w:cs="Aptos" w:eastAsia="Aptos"/>
                <w:b w:val="0"/>
                <w:i w:val="0"/>
                <w:sz w:val="16"/>
              </w:rPr>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Name:</w:t>
            </w:r>
          </w:p>
        </w:tc>
        <w:tc>
          <w:tcPr>
            <w:tcW w:type="dxa" w:w="119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5"/>
              </w:rPr>
              <w:t>___ / ___ / ___</w:t>
            </w:r>
          </w:p>
        </w:tc>
      </w:tr>
    </w:tbl>
    <w:p>
      <w:pPr>
        <w:spacing w:after="60"/>
      </w:pPr>
    </w:p>
    <w:tbl>
      <w:tblPr>
        <w:tblW w:type="auto" w:w="0"/>
        <w:tblLayout w:type="fixed"/>
        <w:tblLook w:firstColumn="1" w:firstRow="1" w:lastColumn="0" w:lastRow="0" w:noHBand="0" w:noVBand="1" w:val="04A0"/>
      </w:tblPr>
      <w:tblGrid>
        <w:gridCol w:w="2523"/>
        <w:gridCol w:w="2523"/>
        <w:gridCol w:w="2523"/>
        <w:gridCol w:w="2523"/>
        <w:gridCol w:w="2523"/>
        <w:gridCol w:w="2523"/>
      </w:tblGrid>
      <w:tr>
        <w:tc>
          <w:tcPr>
            <w:tcW w:type="dxa" w:w="1474"/>
          </w:tcPr>
          <w:p>
            <w:pPr>
              <w:spacing w:after="20"/>
            </w:pPr>
            <w:r>
              <w:rPr>
                <w:rFonts w:ascii="Aptos" w:hAnsi="Aptos" w:cs="Aptos" w:eastAsia="Aptos"/>
                <w:b/>
                <w:i w:val="0"/>
                <w:color w:val="8C5A2B"/>
                <w:sz w:val="19"/>
              </w:rPr>
              <w:t>Die Kennzahlen werden geprüft in (Gremium)</w:t>
            </w:r>
          </w:p>
        </w:tc>
        <w:tc>
          <w:tcPr>
            <w:tcW w:type="dxa" w:w="1928"/>
            <w:tcBorders>
              <w:bottom w:val="single" w:sz="6" w:space="0" w:color="C9BBA6"/>
            </w:tcBorders>
          </w:tcPr>
          <w:p>
            <w:pPr>
              <w:spacing w:after="20"/>
            </w:pPr>
          </w:p>
        </w:tc>
        <w:tc>
          <w:tcPr>
            <w:tcW w:type="dxa" w:w="1474"/>
          </w:tcPr>
          <w:p>
            <w:pPr>
              <w:spacing w:after="20"/>
            </w:pPr>
            <w:r>
              <w:rPr>
                <w:rFonts w:ascii="Aptos" w:hAnsi="Aptos" w:cs="Aptos" w:eastAsia="Aptos"/>
                <w:b/>
                <w:i w:val="0"/>
                <w:color w:val="8C5A2B"/>
                <w:sz w:val="19"/>
              </w:rPr>
              <w:t>Nächste Prüfung am</w:t>
            </w:r>
          </w:p>
        </w:tc>
        <w:tc>
          <w:tcPr>
            <w:tcW w:type="dxa" w:w="1928"/>
            <w:tcBorders>
              <w:bottom w:val="single" w:sz="6" w:space="0" w:color="C9BBA6"/>
            </w:tcBorders>
          </w:tcPr>
          <w:p>
            <w:pPr>
              <w:spacing w:after="20"/>
            </w:pPr>
          </w:p>
        </w:tc>
        <w:tc>
          <w:tcPr>
            <w:tcW w:type="dxa" w:w="1474"/>
          </w:tcPr>
          <w:p>
            <w:pPr>
              <w:spacing w:after="20"/>
            </w:pPr>
            <w:r>
              <w:rPr>
                <w:rFonts w:ascii="Aptos" w:hAnsi="Aptos" w:cs="Aptos" w:eastAsia="Aptos"/>
                <w:b/>
                <w:i w:val="0"/>
                <w:color w:val="8C5A2B"/>
                <w:sz w:val="19"/>
              </w:rPr>
              <w:t>Zuständig für die Rückmeldung an die Front</w:t>
            </w:r>
          </w:p>
        </w:tc>
        <w:tc>
          <w:tcPr>
            <w:tcW w:type="dxa" w:w="1928"/>
            <w:tcBorders>
              <w:bottom w:val="single" w:sz="6" w:space="0" w:color="C9BBA6"/>
            </w:tcBorders>
          </w:tcPr>
          <w:p>
            <w:pPr>
              <w:spacing w:after="20"/>
            </w:pPr>
          </w:p>
        </w:tc>
      </w:tr>
    </w:tbl>
    <w:p>
      <w:r>
        <w:rPr>
          <w:rFonts w:ascii="Aptos" w:hAnsi="Aptos" w:cs="Aptos" w:eastAsia="Aptos"/>
          <w:b w:val="0"/>
          <w:i/>
          <w:color w:val="7A6A55"/>
          <w:sz w:val="17"/>
        </w:rPr>
        <w:t>Die Front erfährt, dass ihre Meldungen gezählt werden und etwas bewirken – erst das schließt den Kreis (1.8, Was die Norm sagt).</w:t>
      </w:r>
    </w:p>
    <w:p>
      <w:pPr>
        <w:keepNext/>
        <w:pageBreakBefore/>
        <w:spacing w:before="280" w:after="80"/>
        <w:pBdr>
          <w:bottom w:val="single" w:sz="6" w:space="2" w:color="C9BBA6"/>
        </w:pBdr>
      </w:pPr>
      <w:r>
        <w:rPr>
          <w:rFonts w:ascii="Aptos" w:hAnsi="Aptos" w:cs="Aptos" w:eastAsia="Aptos"/>
          <w:b/>
          <w:color w:val="8C5A2B"/>
          <w:sz w:val="28"/>
        </w:rPr>
        <w:t>Bogen C – Begehung statt Rückschau</w:t>
      </w:r>
    </w:p>
    <w:p>
      <w:pPr>
        <w:spacing w:after="40"/>
      </w:pPr>
      <w:r>
        <w:rPr>
          <w:rFonts w:ascii="Aptos" w:hAnsi="Aptos" w:cs="Aptos" w:eastAsia="Aptos"/>
          <w:b w:val="0"/>
          <w:i w:val="0"/>
          <w:sz w:val="18"/>
        </w:rPr>
        <w:t>Kurzbogen für den Rundgang: Gehen und Sehen, nicht Häkchen am Schreibtisch. Befunde bitte in das Begehungsprotokoll übertragen (Dokumententemplates der Plattform, Abschnitt 2.9).</w:t>
      </w:r>
    </w:p>
    <w:tbl>
      <w:tblPr>
        <w:tblW w:type="auto" w:w="0"/>
        <w:tblLayout w:type="fixed"/>
        <w:tblLook w:firstColumn="1" w:firstRow="1" w:lastColumn="0" w:lastRow="0" w:noHBand="0" w:noVBand="1" w:val="04A0"/>
      </w:tblPr>
      <w:tblGrid>
        <w:gridCol w:w="1892"/>
        <w:gridCol w:w="1892"/>
        <w:gridCol w:w="1892"/>
        <w:gridCol w:w="1892"/>
        <w:gridCol w:w="1892"/>
        <w:gridCol w:w="1892"/>
        <w:gridCol w:w="1892"/>
        <w:gridCol w:w="1892"/>
      </w:tblGrid>
      <w:tr>
        <w:tc>
          <w:tcPr>
            <w:tcW w:type="dxa" w:w="1474"/>
          </w:tcPr>
          <w:p>
            <w:pPr>
              <w:spacing w:after="20"/>
            </w:pPr>
            <w:r>
              <w:rPr>
                <w:rFonts w:ascii="Aptos" w:hAnsi="Aptos" w:cs="Aptos" w:eastAsia="Aptos"/>
                <w:b/>
                <w:i w:val="0"/>
                <w:color w:val="8C5A2B"/>
                <w:sz w:val="19"/>
              </w:rPr>
              <w:t>Bereich</w:t>
            </w:r>
          </w:p>
        </w:tc>
        <w:tc>
          <w:tcPr>
            <w:tcW w:type="dxa" w:w="1928"/>
            <w:tcBorders>
              <w:bottom w:val="single" w:sz="6" w:space="0" w:color="C9BBA6"/>
            </w:tcBorders>
          </w:tcPr>
          <w:p>
            <w:pPr>
              <w:spacing w:after="20"/>
            </w:pPr>
          </w:p>
        </w:tc>
        <w:tc>
          <w:tcPr>
            <w:tcW w:type="dxa" w:w="1474"/>
          </w:tcPr>
          <w:p>
            <w:pPr>
              <w:spacing w:after="20"/>
            </w:pPr>
            <w:r>
              <w:rPr>
                <w:rFonts w:ascii="Aptos" w:hAnsi="Aptos" w:cs="Aptos" w:eastAsia="Aptos"/>
                <w:b/>
                <w:i w:val="0"/>
                <w:color w:val="8C5A2B"/>
                <w:sz w:val="19"/>
              </w:rPr>
              <w:t>Datum</w:t>
            </w:r>
          </w:p>
        </w:tc>
        <w:tc>
          <w:tcPr>
            <w:tcW w:type="dxa" w:w="1928"/>
            <w:tcBorders>
              <w:bottom w:val="single" w:sz="6" w:space="0" w:color="C9BBA6"/>
            </w:tcBorders>
          </w:tcPr>
          <w:p>
            <w:pPr>
              <w:spacing w:after="20"/>
            </w:pPr>
          </w:p>
        </w:tc>
        <w:tc>
          <w:tcPr>
            <w:tcW w:type="dxa" w:w="1474"/>
          </w:tcPr>
          <w:p>
            <w:pPr>
              <w:spacing w:after="20"/>
            </w:pPr>
            <w:r>
              <w:rPr>
                <w:rFonts w:ascii="Aptos" w:hAnsi="Aptos" w:cs="Aptos" w:eastAsia="Aptos"/>
                <w:b/>
                <w:i w:val="0"/>
                <w:color w:val="8C5A2B"/>
                <w:sz w:val="19"/>
              </w:rPr>
              <w:t>Begeher/in</w:t>
            </w:r>
          </w:p>
        </w:tc>
        <w:tc>
          <w:tcPr>
            <w:tcW w:type="dxa" w:w="1928"/>
            <w:tcBorders>
              <w:bottom w:val="single" w:sz="6" w:space="0" w:color="C9BBA6"/>
            </w:tcBorders>
          </w:tcPr>
          <w:p>
            <w:pPr>
              <w:spacing w:after="20"/>
            </w:pPr>
          </w:p>
        </w:tc>
        <w:tc>
          <w:tcPr>
            <w:tcW w:type="dxa" w:w="1474"/>
          </w:tcPr>
          <w:p>
            <w:pPr>
              <w:spacing w:after="20"/>
            </w:pPr>
            <w:r>
              <w:rPr>
                <w:rFonts w:ascii="Aptos" w:hAnsi="Aptos" w:cs="Aptos" w:eastAsia="Aptos"/>
                <w:b/>
                <w:i w:val="0"/>
                <w:color w:val="8C5A2B"/>
                <w:sz w:val="19"/>
              </w:rPr>
              <w:t>Vorheriger Beobachter</w:t>
            </w:r>
          </w:p>
        </w:tc>
        <w:tc>
          <w:tcPr>
            <w:tcW w:type="dxa" w:w="1928"/>
            <w:tcBorders>
              <w:bottom w:val="single" w:sz="6" w:space="0" w:color="C9BBA6"/>
            </w:tcBorders>
          </w:tcPr>
          <w:p>
            <w:pPr>
              <w:spacing w:after="20"/>
            </w:pPr>
          </w:p>
        </w:tc>
      </w:tr>
    </w:tbl>
    <w:p>
      <w:pPr>
        <w:spacing w:after="20"/>
      </w:pPr>
    </w:p>
    <w:tbl>
      <w:tblPr>
        <w:tblW w:type="auto" w:w="0"/>
        <w:jc w:val="center"/>
        <w:tblLayout w:type="fixed"/>
        <w:tblLook w:firstColumn="1" w:firstRow="1" w:lastColumn="0" w:lastRow="0" w:noHBand="0" w:noVBand="1" w:val="04A0"/>
      </w:tblPr>
      <w:tblGrid>
        <w:gridCol w:w="7143"/>
        <w:gridCol w:w="7937"/>
      </w:tblGrid>
      <w:tr>
        <w:tc>
          <w:tcPr>
            <w:tcW w:type="dxa" w:w="7143"/>
            <w:tcBorders>
              <w:top w:val="single" w:sz="2" w:space="0" w:color="FFFFFF"/>
              <w:left w:val="single" w:sz="2" w:space="0" w:color="FFFFFF"/>
              <w:bottom w:val="single" w:sz="2" w:space="0" w:color="FFFFFF"/>
              <w:right w:val="single" w:sz="2" w:space="0" w:color="FFFFFF"/>
            </w:tcBorders>
          </w:tcPr>
          <w:p>
            <w:pPr>
              <w:spacing w:after="60" w:line="252" w:lineRule="auto"/>
            </w:pPr>
            <w:r>
              <w:rPr>
                <w:rFonts w:ascii="Aptos" w:hAnsi="Aptos" w:cs="Aptos" w:eastAsia="Aptos"/>
                <w:b/>
                <w:i w:val="0"/>
                <w:color w:val="8C5A2B"/>
                <w:sz w:val="19"/>
              </w:rPr>
              <w:t>Vor dem Gang</w:t>
            </w:r>
          </w:p>
          <w:p>
            <w:pPr>
              <w:spacing w:after="60" w:line="252" w:lineRule="auto"/>
            </w:pPr>
            <w:r>
              <w:rPr>
                <w:rFonts w:ascii="Aptos" w:hAnsi="Aptos" w:cs="Aptos" w:eastAsia="Aptos"/>
                <w:b/>
                <w:i w:val="0"/>
                <w:color w:val="8C5A2B"/>
                <w:sz w:val="19"/>
              </w:rPr>
              <w:t xml:space="preserve">☐  </w:t>
            </w:r>
            <w:r>
              <w:rPr>
                <w:rFonts w:ascii="Aptos" w:hAnsi="Aptos" w:cs="Aptos" w:eastAsia="Aptos"/>
                <w:b w:val="0"/>
                <w:i w:val="0"/>
                <w:sz w:val="18"/>
              </w:rPr>
              <w:t>Der Beobachter wechselt (nicht immer dieselbe Person).</w:t>
            </w:r>
          </w:p>
          <w:p>
            <w:pPr>
              <w:spacing w:after="60" w:line="252" w:lineRule="auto"/>
            </w:pPr>
            <w:r>
              <w:rPr>
                <w:rFonts w:ascii="Aptos" w:hAnsi="Aptos" w:cs="Aptos" w:eastAsia="Aptos"/>
                <w:b/>
                <w:i w:val="0"/>
                <w:color w:val="8C5A2B"/>
                <w:sz w:val="19"/>
              </w:rPr>
              <w:t xml:space="preserve">☐  </w:t>
            </w:r>
            <w:r>
              <w:rPr>
                <w:rFonts w:ascii="Aptos" w:hAnsi="Aptos" w:cs="Aptos" w:eastAsia="Aptos"/>
                <w:b w:val="0"/>
                <w:i w:val="0"/>
                <w:sz w:val="18"/>
              </w:rPr>
              <w:t>Ein frischer Blick geht mit (neue Mitarbeiterin, Kollege aus anderer Abteilung): ______________</w:t>
            </w:r>
          </w:p>
          <w:p>
            <w:pPr>
              <w:spacing w:after="60" w:line="252" w:lineRule="auto"/>
            </w:pPr>
            <w:r>
              <w:rPr>
                <w:rFonts w:ascii="Aptos" w:hAnsi="Aptos" w:cs="Aptos" w:eastAsia="Aptos"/>
                <w:b/>
                <w:i w:val="0"/>
                <w:color w:val="8C5A2B"/>
                <w:sz w:val="19"/>
              </w:rPr>
              <w:t xml:space="preserve">☐  </w:t>
            </w:r>
            <w:r>
              <w:rPr>
                <w:rFonts w:ascii="Aptos" w:hAnsi="Aptos" w:cs="Aptos" w:eastAsia="Aptos"/>
                <w:b w:val="0"/>
                <w:i w:val="0"/>
                <w:sz w:val="18"/>
              </w:rPr>
              <w:t>Die Liste lenkt den Blick, ersetzt aber nicht das Hinsehen.</w:t>
            </w:r>
          </w:p>
          <w:p>
            <w:pPr>
              <w:spacing w:after="60" w:line="252" w:lineRule="auto"/>
            </w:pPr>
            <w:r>
              <w:rPr>
                <w:rFonts w:ascii="Aptos" w:hAnsi="Aptos" w:cs="Aptos" w:eastAsia="Aptos"/>
                <w:b/>
                <w:i w:val="0"/>
                <w:color w:val="8C5A2B"/>
                <w:sz w:val="19"/>
              </w:rPr>
              <w:t xml:space="preserve">☐  </w:t>
            </w:r>
            <w:r>
              <w:rPr>
                <w:rFonts w:ascii="Aptos" w:hAnsi="Aptos" w:cs="Aptos" w:eastAsia="Aptos"/>
                <w:b w:val="0"/>
                <w:i w:val="0"/>
                <w:sz w:val="18"/>
              </w:rPr>
              <w:t>Beschäftigte der Abteilung gehen mit; Melden bleibt straffrei.</w:t>
            </w:r>
          </w:p>
          <w:p>
            <w:pPr>
              <w:spacing w:after="60" w:line="252" w:lineRule="auto"/>
            </w:pPr>
            <w:r>
              <w:rPr>
                <w:rFonts w:ascii="Aptos" w:hAnsi="Aptos" w:cs="Aptos" w:eastAsia="Aptos"/>
                <w:b w:val="0"/>
                <w:i w:val="0"/>
                <w:sz w:val="18"/>
              </w:rPr>
            </w:r>
          </w:p>
          <w:p>
            <w:pPr>
              <w:spacing w:after="60" w:line="252" w:lineRule="auto"/>
            </w:pPr>
            <w:r>
              <w:rPr>
                <w:rFonts w:ascii="Aptos" w:hAnsi="Aptos" w:cs="Aptos" w:eastAsia="Aptos"/>
                <w:b/>
                <w:i w:val="0"/>
                <w:color w:val="8C5A2B"/>
                <w:sz w:val="19"/>
              </w:rPr>
              <w:t>Rückspiegel und Windschutzscheibe dieses Gangs</w:t>
            </w:r>
          </w:p>
          <w:p>
            <w:pPr>
              <w:spacing w:after="60" w:line="252" w:lineRule="auto"/>
            </w:pPr>
            <w:r>
              <w:rPr>
                <w:rFonts w:ascii="Aptos" w:hAnsi="Aptos" w:cs="Aptos" w:eastAsia="Aptos"/>
                <w:b w:val="0"/>
                <w:i/>
                <w:color w:val="7A6A55"/>
                <w:sz w:val="15"/>
              </w:rPr>
              <w:t xml:space="preserve">Rückspiegel (was geschah): </w:t>
            </w:r>
            <w:r>
              <w:rPr>
                <w:rFonts w:ascii="Aptos" w:hAnsi="Aptos" w:cs="Aptos" w:eastAsia="Aptos"/>
                <w:b w:val="0"/>
                <w:i w:val="0"/>
                <w:sz w:val="18"/>
              </w:rPr>
              <w:t>Unfälle ____  Ausfalltage ____</w:t>
            </w:r>
          </w:p>
          <w:p>
            <w:pPr>
              <w:spacing w:after="60" w:line="252" w:lineRule="auto"/>
            </w:pPr>
            <w:r>
              <w:rPr>
                <w:rFonts w:ascii="Aptos" w:hAnsi="Aptos" w:cs="Aptos" w:eastAsia="Aptos"/>
                <w:b w:val="0"/>
                <w:i/>
                <w:color w:val="7A6A55"/>
                <w:sz w:val="15"/>
              </w:rPr>
              <w:t xml:space="preserve">Windschutzscheibe (was droht): </w:t>
            </w:r>
            <w:r>
              <w:rPr>
                <w:rFonts w:ascii="Aptos" w:hAnsi="Aptos" w:cs="Aptos" w:eastAsia="Aptos"/>
                <w:b w:val="0"/>
                <w:i w:val="0"/>
                <w:sz w:val="18"/>
              </w:rPr>
              <w:t>gefunden ____  behoben ____  offen ____  Beinahe ____</w:t>
            </w:r>
          </w:p>
          <w:p>
            <w:pPr>
              <w:spacing w:after="60" w:line="252" w:lineRule="auto"/>
            </w:pPr>
            <w:r>
              <w:rPr>
                <w:rFonts w:ascii="Aptos" w:hAnsi="Aptos" w:cs="Aptos" w:eastAsia="Aptos"/>
                <w:b/>
                <w:i w:val="0"/>
                <w:color w:val="8C5A2B"/>
                <w:sz w:val="19"/>
              </w:rPr>
              <w:t xml:space="preserve">☐  </w:t>
            </w:r>
            <w:r>
              <w:rPr>
                <w:rFonts w:ascii="Aptos" w:hAnsi="Aptos" w:cs="Aptos" w:eastAsia="Aptos"/>
                <w:b w:val="0"/>
                <w:i w:val="0"/>
                <w:sz w:val="18"/>
              </w:rPr>
              <w:t>Früher gefundene Gefahren auf Behebung geprüft; Behobenes ist behoben geblieben.</w:t>
            </w:r>
          </w:p>
        </w:tc>
        <w:tc>
          <w:tcPr>
            <w:tcW w:type="dxa" w:w="7937"/>
            <w:tcBorders>
              <w:top w:val="single" w:sz="2" w:space="0" w:color="FFFFFF"/>
              <w:left w:val="single" w:sz="2" w:space="0" w:color="FFFFFF"/>
              <w:bottom w:val="single" w:sz="2" w:space="0" w:color="FFFFFF"/>
              <w:right w:val="single" w:sz="2" w:space="0" w:color="FFFFFF"/>
            </w:tcBorders>
          </w:tcPr>
          <w:p>
            <w:pPr>
              <w:spacing w:after="60" w:line="252" w:lineRule="auto"/>
            </w:pPr>
            <w:r>
              <w:rPr>
                <w:rFonts w:ascii="Aptos" w:hAnsi="Aptos" w:cs="Aptos" w:eastAsia="Aptos"/>
                <w:b/>
                <w:i w:val="0"/>
                <w:color w:val="8C5A2B"/>
                <w:sz w:val="19"/>
              </w:rPr>
              <w:t>Fünf Fragen des Buches (Prüf-Checkliste 2.9)</w:t>
            </w:r>
          </w:p>
          <w:p>
            <w:pPr>
              <w:spacing w:after="60" w:line="252" w:lineRule="auto"/>
            </w:pPr>
            <w:r>
              <w:rPr>
                <w:rFonts w:ascii="Aptos" w:hAnsi="Aptos" w:cs="Aptos" w:eastAsia="Aptos"/>
                <w:b/>
                <w:i w:val="0"/>
                <w:color w:val="8C5A2B"/>
                <w:sz w:val="16"/>
              </w:rPr>
              <w:t xml:space="preserve">ja ☐  teils ☐  nein ☐   </w:t>
            </w:r>
            <w:r>
              <w:rPr>
                <w:rFonts w:ascii="Aptos" w:hAnsi="Aptos" w:cs="Aptos" w:eastAsia="Aptos"/>
                <w:b w:val="0"/>
                <w:i w:val="0"/>
                <w:sz w:val="18"/>
              </w:rPr>
              <w:t>Beobachte ich vorauseilende Größen – oder zähle ich nur die Unfälle im Rückspiegel?</w:t>
            </w:r>
          </w:p>
          <w:p>
            <w:pPr>
              <w:spacing w:after="60" w:line="252" w:lineRule="auto"/>
            </w:pPr>
            <w:r>
              <w:rPr>
                <w:rFonts w:ascii="Aptos" w:hAnsi="Aptos" w:cs="Aptos" w:eastAsia="Aptos"/>
                <w:b/>
                <w:i w:val="0"/>
                <w:color w:val="8C5A2B"/>
                <w:sz w:val="16"/>
              </w:rPr>
              <w:t xml:space="preserve">ja ☐  teils ☐  nein ☐   </w:t>
            </w:r>
            <w:r>
              <w:rPr>
                <w:rFonts w:ascii="Aptos" w:hAnsi="Aptos" w:cs="Aptos" w:eastAsia="Aptos"/>
                <w:b w:val="0"/>
                <w:i w:val="0"/>
                <w:sz w:val="18"/>
              </w:rPr>
              <w:t>Gehe ich wirklich – oder hake ich die Begehung am Schreibtisch ab?</w:t>
            </w:r>
          </w:p>
          <w:p>
            <w:pPr>
              <w:spacing w:after="60" w:line="252" w:lineRule="auto"/>
            </w:pPr>
            <w:r>
              <w:rPr>
                <w:rFonts w:ascii="Aptos" w:hAnsi="Aptos" w:cs="Aptos" w:eastAsia="Aptos"/>
                <w:b/>
                <w:i w:val="0"/>
                <w:color w:val="8C5A2B"/>
                <w:sz w:val="16"/>
              </w:rPr>
              <w:t xml:space="preserve">ja ☐  teils ☐  nein ☐   </w:t>
            </w:r>
            <w:r>
              <w:rPr>
                <w:rFonts w:ascii="Aptos" w:hAnsi="Aptos" w:cs="Aptos" w:eastAsia="Aptos"/>
                <w:b w:val="0"/>
                <w:i w:val="0"/>
                <w:sz w:val="18"/>
              </w:rPr>
              <w:t>Sehe ich das täglich Übersehene – hole ich den frischen Blick gegen die Betriebsblindheit?</w:t>
            </w:r>
          </w:p>
          <w:p>
            <w:pPr>
              <w:spacing w:after="60" w:line="252" w:lineRule="auto"/>
            </w:pPr>
            <w:r>
              <w:rPr>
                <w:rFonts w:ascii="Aptos" w:hAnsi="Aptos" w:cs="Aptos" w:eastAsia="Aptos"/>
                <w:b/>
                <w:i w:val="0"/>
                <w:color w:val="8C5A2B"/>
                <w:sz w:val="16"/>
              </w:rPr>
              <w:t xml:space="preserve">ja ☐  teils ☐  nein ☐   </w:t>
            </w:r>
            <w:r>
              <w:rPr>
                <w:rFonts w:ascii="Aptos" w:hAnsi="Aptos" w:cs="Aptos" w:eastAsia="Aptos"/>
                <w:b w:val="0"/>
                <w:i w:val="0"/>
                <w:sz w:val="18"/>
              </w:rPr>
              <w:t>Folgt dem Sehen das Beheben – oder bleibt die gefundene Gefahr stehen?</w:t>
            </w:r>
          </w:p>
          <w:p>
            <w:pPr>
              <w:spacing w:after="60" w:line="252" w:lineRule="auto"/>
            </w:pPr>
            <w:r>
              <w:rPr>
                <w:rFonts w:ascii="Aptos" w:hAnsi="Aptos" w:cs="Aptos" w:eastAsia="Aptos"/>
                <w:b/>
                <w:i w:val="0"/>
                <w:color w:val="8C5A2B"/>
                <w:sz w:val="16"/>
              </w:rPr>
              <w:t xml:space="preserve">ja ☐  teils ☐  nein ☐   </w:t>
            </w:r>
            <w:r>
              <w:rPr>
                <w:rFonts w:ascii="Aptos" w:hAnsi="Aptos" w:cs="Aptos" w:eastAsia="Aptos"/>
                <w:b w:val="0"/>
                <w:i w:val="0"/>
                <w:sz w:val="18"/>
              </w:rPr>
              <w:t>Messe ich das Richtige – und ist jedes Auge im Haus Teil des Sehens?</w:t>
            </w:r>
          </w:p>
          <w:p>
            <w:pPr>
              <w:spacing w:after="60" w:line="252" w:lineRule="auto"/>
            </w:pPr>
            <w:r>
              <w:rPr>
                <w:rFonts w:ascii="Aptos" w:hAnsi="Aptos" w:cs="Aptos" w:eastAsia="Aptos"/>
                <w:b w:val="0"/>
                <w:i w:val="0"/>
                <w:sz w:val="18"/>
              </w:rPr>
            </w:r>
          </w:p>
          <w:p>
            <w:pPr>
              <w:spacing w:after="60" w:line="252" w:lineRule="auto"/>
            </w:pPr>
            <w:r>
              <w:rPr>
                <w:rFonts w:ascii="Aptos" w:hAnsi="Aptos" w:cs="Aptos" w:eastAsia="Aptos"/>
                <w:b/>
                <w:i w:val="0"/>
                <w:color w:val="8C5A2B"/>
                <w:sz w:val="19"/>
              </w:rPr>
              <w:t>Ihre Stufe: Reifegrad der proaktiven Beobachtung (Tabelle 2, 2.9)</w:t>
            </w:r>
          </w:p>
          <w:p>
            <w:pPr>
              <w:spacing w:after="60" w:line="252" w:lineRule="auto"/>
            </w:pPr>
            <w:r>
              <w:rPr>
                <w:rFonts w:ascii="Aptos" w:hAnsi="Aptos" w:cs="Aptos" w:eastAsia="Aptos"/>
                <w:b/>
                <w:i w:val="0"/>
                <w:color w:val="8C5A2B"/>
                <w:sz w:val="19"/>
              </w:rPr>
              <w:t xml:space="preserve">☐  </w:t>
            </w:r>
            <w:r>
              <w:rPr>
                <w:rFonts w:ascii="Aptos" w:hAnsi="Aptos" w:cs="Aptos" w:eastAsia="Aptos"/>
                <w:b/>
                <w:i w:val="0"/>
                <w:sz w:val="18"/>
              </w:rPr>
              <w:t xml:space="preserve">1 — Rückspiegel: </w:t>
            </w:r>
            <w:r>
              <w:rPr>
                <w:rFonts w:ascii="Aptos" w:hAnsi="Aptos" w:cs="Aptos" w:eastAsia="Aptos"/>
                <w:b w:val="0"/>
                <w:i w:val="0"/>
                <w:sz w:val="17"/>
              </w:rPr>
              <w:t>nur Unfälle zählen · Unfallzahl · erkennbar: blickt nur zurück</w:t>
            </w:r>
          </w:p>
          <w:p>
            <w:pPr>
              <w:spacing w:after="60" w:line="252" w:lineRule="auto"/>
            </w:pPr>
            <w:r>
              <w:rPr>
                <w:rFonts w:ascii="Aptos" w:hAnsi="Aptos" w:cs="Aptos" w:eastAsia="Aptos"/>
                <w:b/>
                <w:i w:val="0"/>
                <w:color w:val="8C5A2B"/>
                <w:sz w:val="19"/>
              </w:rPr>
              <w:t xml:space="preserve">☐  </w:t>
            </w:r>
            <w:r>
              <w:rPr>
                <w:rFonts w:ascii="Aptos" w:hAnsi="Aptos" w:cs="Aptos" w:eastAsia="Aptos"/>
                <w:b/>
                <w:i w:val="0"/>
                <w:sz w:val="18"/>
              </w:rPr>
              <w:t xml:space="preserve">2 — Formular: </w:t>
            </w:r>
            <w:r>
              <w:rPr>
                <w:rFonts w:ascii="Aptos" w:hAnsi="Aptos" w:cs="Aptos" w:eastAsia="Aptos"/>
                <w:b w:val="0"/>
                <w:i w:val="0"/>
                <w:sz w:val="17"/>
              </w:rPr>
              <w:t>Begehung als Häkchen · Checkliste · erkennbar: gehakt, nicht gesehen</w:t>
            </w:r>
          </w:p>
          <w:p>
            <w:pPr>
              <w:spacing w:after="60" w:line="252" w:lineRule="auto"/>
            </w:pPr>
            <w:r>
              <w:rPr>
                <w:rFonts w:ascii="Aptos" w:hAnsi="Aptos" w:cs="Aptos" w:eastAsia="Aptos"/>
                <w:b/>
                <w:i w:val="0"/>
                <w:color w:val="8C5A2B"/>
                <w:sz w:val="19"/>
              </w:rPr>
              <w:t xml:space="preserve">☐  </w:t>
            </w:r>
            <w:r>
              <w:rPr>
                <w:rFonts w:ascii="Aptos" w:hAnsi="Aptos" w:cs="Aptos" w:eastAsia="Aptos"/>
                <w:b/>
                <w:i w:val="0"/>
                <w:sz w:val="18"/>
              </w:rPr>
              <w:t xml:space="preserve">3 — Frisches Auge: </w:t>
            </w:r>
            <w:r>
              <w:rPr>
                <w:rFonts w:ascii="Aptos" w:hAnsi="Aptos" w:cs="Aptos" w:eastAsia="Aptos"/>
                <w:b w:val="0"/>
                <w:i w:val="0"/>
                <w:sz w:val="17"/>
              </w:rPr>
              <w:t>echte Begehung, gesehen · Begehung · erkennbar: Gefahr wird gefunden</w:t>
            </w:r>
          </w:p>
          <w:p>
            <w:pPr>
              <w:spacing w:after="60" w:line="252" w:lineRule="auto"/>
            </w:pPr>
            <w:r>
              <w:rPr>
                <w:rFonts w:ascii="Aptos" w:hAnsi="Aptos" w:cs="Aptos" w:eastAsia="Aptos"/>
                <w:b/>
                <w:i w:val="0"/>
                <w:color w:val="8C5A2B"/>
                <w:sz w:val="19"/>
              </w:rPr>
              <w:t xml:space="preserve">☐  </w:t>
            </w:r>
            <w:r>
              <w:rPr>
                <w:rFonts w:ascii="Aptos" w:hAnsi="Aptos" w:cs="Aptos" w:eastAsia="Aptos"/>
                <w:b/>
                <w:i w:val="0"/>
                <w:sz w:val="18"/>
              </w:rPr>
              <w:t xml:space="preserve">4 — Wachsam: </w:t>
            </w:r>
            <w:r>
              <w:rPr>
                <w:rFonts w:ascii="Aptos" w:hAnsi="Aptos" w:cs="Aptos" w:eastAsia="Aptos"/>
                <w:b w:val="0"/>
                <w:i w:val="0"/>
                <w:sz w:val="17"/>
              </w:rPr>
              <w:t>vorauseilend, behoben, jedes Auge · reife Beobachtung · erkennbar: die Lücke vor dem Vorfall</w:t>
            </w:r>
          </w:p>
        </w:tc>
      </w:tr>
    </w:tbl>
    <w:p>
      <w:pPr>
        <w:spacing w:after="60"/>
      </w:pPr>
    </w:p>
    <w:p>
      <w:pPr>
        <w:spacing w:after="40"/>
      </w:pPr>
      <w:r>
        <w:rPr>
          <w:rFonts w:ascii="Aptos" w:hAnsi="Aptos" w:cs="Aptos" w:eastAsia="Aptos"/>
          <w:b/>
          <w:i w:val="0"/>
          <w:color w:val="8C5A2B"/>
          <w:sz w:val="18"/>
        </w:rPr>
        <w:t>Was ich sehe – die Leitfrage des Buches für den Rundgang: „Was steht in voller Sicht und wird doch täglich übersehen?“ (2.9)</w:t>
      </w:r>
    </w:p>
    <w:tbl>
      <w:tblPr>
        <w:tblW w:type="auto" w:w="0"/>
        <w:jc w:val="center"/>
        <w:tblLayout w:type="fixed"/>
        <w:tblLook w:firstColumn="1" w:firstRow="1" w:lastColumn="0" w:lastRow="0" w:noHBand="0" w:noVBand="1" w:val="04A0"/>
      </w:tblPr>
      <w:tblGrid>
        <w:gridCol w:w="2041"/>
        <w:gridCol w:w="3402"/>
        <w:gridCol w:w="1984"/>
        <w:gridCol w:w="1474"/>
        <w:gridCol w:w="4139"/>
        <w:gridCol w:w="2098"/>
      </w:tblGrid>
      <w:tr>
        <w:trPr>
          <w:tblHeader w:val="true"/>
        </w:trPr>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Wo (Ort)</w:t>
            </w:r>
          </w:p>
        </w:tc>
        <w:tc>
          <w:tcPr>
            <w:tcW w:type="dxa" w:w="340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Was ich sehe</w:t>
            </w:r>
          </w:p>
        </w:tc>
        <w:tc>
          <w:tcPr>
            <w:tcW w:type="dxa" w:w="198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Gefahr / Beinahe?</w:t>
            </w:r>
          </w:p>
        </w:tc>
        <w:tc>
          <w:tcPr>
            <w:tcW w:type="dxa" w:w="147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Sofort behoben</w:t>
            </w:r>
          </w:p>
        </w:tc>
        <w:tc>
          <w:tcPr>
            <w:tcW w:type="dxa" w:w="413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Maßnahme, wer, bis wann (Festlegung des Hauses)</w:t>
            </w:r>
          </w:p>
        </w:tc>
        <w:tc>
          <w:tcPr>
            <w:tcW w:type="dxa" w:w="209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Behebung geprüft am</w:t>
            </w:r>
          </w:p>
        </w:tc>
      </w:tr>
      <w:tr>
        <w:trPr>
          <w:cantSplit w:val="true"/>
          <w:trHeight w:val="481" w:hRule="atLeast"/>
        </w:trPr>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40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Gefahr  ☐ Beinahe</w:t>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413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81" w:hRule="atLeast"/>
        </w:trPr>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40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Gefahr  ☐ Beinahe</w:t>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413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spacing w:after="20"/>
      </w:pPr>
    </w:p>
    <w:tbl>
      <w:tblPr>
        <w:tblW w:type="auto" w:w="0"/>
        <w:tblLayout w:type="fixed"/>
        <w:tblLook w:firstColumn="1" w:firstRow="1" w:lastColumn="0" w:lastRow="0" w:noHBand="0" w:noVBand="1" w:val="04A0"/>
      </w:tblPr>
      <w:tblGrid>
        <w:gridCol w:w="3784"/>
        <w:gridCol w:w="3784"/>
        <w:gridCol w:w="3784"/>
        <w:gridCol w:w="3784"/>
      </w:tblGrid>
      <w:tr>
        <w:tc>
          <w:tcPr>
            <w:tcW w:type="dxa" w:w="1814"/>
          </w:tcPr>
          <w:p>
            <w:pPr>
              <w:spacing w:after="20"/>
            </w:pPr>
            <w:r>
              <w:rPr>
                <w:rFonts w:ascii="Aptos" w:hAnsi="Aptos" w:cs="Aptos" w:eastAsia="Aptos"/>
                <w:b/>
                <w:i w:val="0"/>
                <w:color w:val="8C5A2B"/>
                <w:sz w:val="19"/>
              </w:rPr>
              <w:t>Ins Protokoll übertragen am</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Nächster Gang / Beobachter</w:t>
            </w:r>
          </w:p>
        </w:tc>
        <w:tc>
          <w:tcPr>
            <w:tcW w:type="dxa" w:w="3005"/>
            <w:tcBorders>
              <w:bottom w:val="single" w:sz="6" w:space="0" w:color="C9BBA6"/>
            </w:tcBorders>
          </w:tcPr>
          <w:p>
            <w:pPr>
              <w:spacing w:after="20"/>
            </w:pPr>
          </w:p>
        </w:tc>
      </w:tr>
    </w:tbl>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9"/>
        </w:rPr>
        <w:t>Beobachtungs- und Diagnosewerkzeug des Hauses: kein Audit, keine Aussage zur Zertifizierbarkeit oder Rechtslage, keine Gefährdungsbeurteilung des konkreten Hauses; kein Ersatz für ISO 45001, Gesetz oder Rechtsberatung. Prädiktive Kennzahlen sind keine Vorhersage – wann der nächste Unfall geschieht, kann auch der beste Frühindikator nicht sagen (1.8). Schwellenwerte, Intervalle und Zuständigkeiten legt das Haus fest; Branchenwerte gibt die Vorlage nicht vor. Eine Stufe oder Lage ist eine Standortbestimmung, kein Urteil. Verbindlich ist stets die jeweils gültige Fassung von Gesetz und Norm; ISO/DIS 45001 (Veröffentlichung als 2027 erwartet) ist nicht bindend.</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3a · ISO 45001 · Front-Test-Werkzeuge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