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9"/>
        </w:rPr>
        <w:t>Vorlage zu Abschnitt 1.2 des Bandes 3a</w:t>
      </w:r>
    </w:p>
    <w:p>
      <w:pPr>
        <w:spacing w:after="60"/>
        <w:pBdr>
          <w:bottom w:val="single" w:sz="8" w:space="4" w:color="C9BBA6"/>
        </w:pBdr>
      </w:pPr>
      <w:r>
        <w:rPr>
          <w:rFonts w:ascii="Aptos" w:hAnsi="Aptos" w:cs="Aptos" w:eastAsia="Aptos"/>
          <w:b/>
          <w:color w:val="8C5A2B"/>
          <w:sz w:val="42"/>
        </w:rPr>
        <w:t>Kontextanalyse: Karte der Gefahr</w:t>
      </w:r>
    </w:p>
    <w:p>
      <w:pPr>
        <w:spacing w:before="80" w:after="120"/>
      </w:pPr>
      <w:r>
        <w:rPr>
          <w:rFonts w:ascii="Aptos" w:hAnsi="Aptos" w:cs="Aptos" w:eastAsia="Aptos"/>
          <w:i/>
          <w:color w:val="7A6A55"/>
          <w:sz w:val="21"/>
        </w:rPr>
        <w:t>Arbeitsblatt für den Rundgang und die laufende Pflege der Karte – die Geografie der Gefahr im eigenen Haus</w:t>
      </w:r>
    </w:p>
    <w:p>
      <w:pPr>
        <w:spacing w:after="16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1.2 (mit 1.1 und 1.3); Norm: Abschnitte 4.1 und 4.2, einschließlich der Klima-Änderung von 2024.</w:t>
      </w:r>
    </w:p>
    <w:tbl>
      <w:tblPr>
        <w:tblW w:type="auto" w:w="0"/>
        <w:jc w:val="center"/>
        <w:tblLook w:firstColumn="1" w:firstRow="1" w:lastColumn="0" w:lastRow="0" w:noHBand="0" w:noVBand="1" w:val="04A0"/>
        <w:tblLayout w:type="fixed"/>
      </w:tblPr>
      <w:tblGrid>
        <w:gridCol w:w="9639"/>
      </w:tblGrid>
      <w:tr>
        <w:tc>
          <w:tcPr>
            <w:tcW w:type="dxa" w:w="9638"/>
            <w:shd w:val="clear" w:color="auto" w:fill="EFE7DC"/>
            <w:tcBorders>
              <w:left w:val="single" w:sz="24" w:space="0" w:color="8C5A2B"/>
            </w:tcBorders>
          </w:tcPr>
          <w:p>
            <w:pPr>
              <w:spacing w:after="60"/>
            </w:pPr>
            <w:r>
              <w:rPr>
                <w:rFonts w:ascii="Aptos" w:hAnsi="Aptos" w:cs="Aptos" w:eastAsia="Aptos"/>
                <w:b/>
                <w:i w:val="0"/>
                <w:color w:val="8C5A2B"/>
                <w:sz w:val="21"/>
              </w:rPr>
              <w:t>So benutzen Sie diese Vorlage</w:t>
            </w:r>
          </w:p>
          <w:p>
            <w:pPr>
              <w:spacing w:after="50"/>
              <w:ind w:left="312" w:hanging="312"/>
            </w:pPr>
            <w:r>
              <w:rPr>
                <w:rFonts w:ascii="Aptos" w:hAnsi="Aptos" w:cs="Aptos" w:eastAsia="Aptos"/>
                <w:b/>
                <w:i w:val="0"/>
                <w:color w:val="8C5A2B"/>
                <w:sz w:val="19"/>
              </w:rPr>
              <w:t xml:space="preserve">1.  </w:t>
            </w:r>
            <w:r>
              <w:rPr>
                <w:rFonts w:ascii="Aptos" w:hAnsi="Aptos" w:cs="Aptos" w:eastAsia="Aptos"/>
                <w:b w:val="0"/>
                <w:i w:val="0"/>
                <w:sz w:val="19"/>
              </w:rPr>
              <w:t>Gehen Sie das Haus ab, vom Keller bis zum Dach, gemeinsam mit Beschäftigten aus den Zonen. Folgen Sie den Wegen der Arbeit, nicht nur den Räumen.</w:t>
            </w:r>
          </w:p>
          <w:p>
            <w:pPr>
              <w:spacing w:after="50"/>
              <w:ind w:left="312" w:hanging="312"/>
            </w:pPr>
            <w:r>
              <w:rPr>
                <w:rFonts w:ascii="Aptos" w:hAnsi="Aptos" w:cs="Aptos" w:eastAsia="Aptos"/>
                <w:b/>
                <w:i w:val="0"/>
                <w:color w:val="8C5A2B"/>
                <w:sz w:val="19"/>
              </w:rPr>
              <w:t xml:space="preserve">2.  </w:t>
            </w:r>
            <w:r>
              <w:rPr>
                <w:rFonts w:ascii="Aptos" w:hAnsi="Aptos" w:cs="Aptos" w:eastAsia="Aptos"/>
                <w:b w:val="0"/>
                <w:i w:val="0"/>
                <w:sz w:val="19"/>
              </w:rPr>
              <w:t>Tragen Sie je Zone ein, welche Gefahr vorherrscht, wer ihr ausgesetzt ist und wann sie sich zuspitzt: mit Saison, Auslastung, Wetter und Tageszeit.</w:t>
            </w:r>
          </w:p>
          <w:p>
            <w:pPr>
              <w:spacing w:after="50"/>
              <w:ind w:left="312" w:hanging="312"/>
            </w:pPr>
            <w:r>
              <w:rPr>
                <w:rFonts w:ascii="Aptos" w:hAnsi="Aptos" w:cs="Aptos" w:eastAsia="Aptos"/>
                <w:b/>
                <w:i w:val="0"/>
                <w:color w:val="8C5A2B"/>
                <w:sz w:val="19"/>
              </w:rPr>
              <w:t xml:space="preserve">3.  </w:t>
            </w:r>
            <w:r>
              <w:rPr>
                <w:rFonts w:ascii="Aptos" w:hAnsi="Aptos" w:cs="Aptos" w:eastAsia="Aptos"/>
                <w:b w:val="0"/>
                <w:i w:val="0"/>
                <w:sz w:val="19"/>
              </w:rPr>
              <w:t>Halten Sie die äußeren und inneren Themen fest (Norm 4.1) und prüfen Sie, ob der Klimawandel für Ihr Haus ein relevantes Thema ist.</w:t>
            </w:r>
          </w:p>
          <w:p>
            <w:pPr>
              <w:spacing w:after="50"/>
              <w:ind w:left="312" w:hanging="312"/>
            </w:pPr>
            <w:r>
              <w:rPr>
                <w:rFonts w:ascii="Aptos" w:hAnsi="Aptos" w:cs="Aptos" w:eastAsia="Aptos"/>
                <w:b/>
                <w:i w:val="0"/>
                <w:color w:val="8C5A2B"/>
                <w:sz w:val="19"/>
              </w:rPr>
              <w:t xml:space="preserve">4.  </w:t>
            </w:r>
            <w:r>
              <w:rPr>
                <w:rFonts w:ascii="Aptos" w:hAnsi="Aptos" w:cs="Aptos" w:eastAsia="Aptos"/>
                <w:b w:val="0"/>
                <w:i w:val="0"/>
                <w:sz w:val="19"/>
              </w:rPr>
              <w:t>Ziehen Sie den Schluss: Welche Zonen sind die heißesten, und welche Entscheidungen folgen daraus? Eine Karte, die nichts auslöst, ist Dekoration.</w:t>
            </w:r>
          </w:p>
          <w:p>
            <w:pPr>
              <w:spacing w:after="50"/>
              <w:ind w:left="312" w:hanging="312"/>
            </w:pPr>
            <w:r>
              <w:rPr>
                <w:rFonts w:ascii="Aptos" w:hAnsi="Aptos" w:cs="Aptos" w:eastAsia="Aptos"/>
                <w:b/>
                <w:i w:val="0"/>
                <w:color w:val="8C5A2B"/>
                <w:sz w:val="19"/>
              </w:rPr>
              <w:t xml:space="preserve">5.  </w:t>
            </w:r>
            <w:r>
              <w:rPr>
                <w:rFonts w:ascii="Aptos" w:hAnsi="Aptos" w:cs="Aptos" w:eastAsia="Aptos"/>
                <w:b w:val="0"/>
                <w:i w:val="0"/>
                <w:sz w:val="19"/>
              </w:rPr>
              <w:t>Legen Sie Auslöser und Termin der nächsten Überprüfung fest. Die Karte lebt: Sie wird bei Umbau, Vorfall und Saisonwechsel erneut betrachtet.</w:t>
            </w:r>
          </w:p>
        </w:tc>
      </w:tr>
    </w:tbl>
    <w:p>
      <w:pPr>
        <w:spacing w:after="0" w:line="144" w:lineRule="auto"/>
      </w:pPr>
    </w:p>
    <w:p>
      <w:pPr>
        <w:keepNext/>
        <w:pageBreakBefore w:val="0"/>
        <w:spacing w:before="280" w:after="80"/>
        <w:pBdr>
          <w:bottom w:val="single" w:sz="6" w:space="2" w:color="C9BBA6"/>
        </w:pBdr>
      </w:pPr>
      <w:r>
        <w:rPr>
          <w:rFonts w:ascii="Aptos" w:hAnsi="Aptos" w:cs="Aptos" w:eastAsia="Aptos"/>
          <w:b/>
          <w:color w:val="8C5A2B"/>
          <w:sz w:val="28"/>
        </w:rPr>
        <w:t>A   Haus-Steckbrief</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Haus / Betrieb</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Ort · Land (D / A / CH)</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Zimmer</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Stand / Version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Erstellt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Erstellt von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Rundgang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Mit (Funktion)</w:t>
            </w:r>
          </w:p>
        </w:tc>
        <w:tc>
          <w:tcPr>
            <w:tcW w:type="dxa" w:w="3005"/>
            <w:tcBorders>
              <w:bottom w:val="single" w:sz="6" w:space="0" w:color="C9BBA6"/>
            </w:tcBorders>
          </w:tcPr>
          <w:p>
            <w:pPr>
              <w:spacing w:after="20"/>
            </w:pPr>
          </w:p>
        </w:tc>
      </w:tr>
    </w:tbl>
    <w:p>
      <w:pPr>
        <w:spacing w:after="0" w:line="80" w:lineRule="exact"/>
      </w:pPr>
      <w:r>
        <w:rPr>
          <w:sz w:val="8"/>
        </w:rPr>
      </w:r>
    </w:p>
    <w:tbl>
      <w:tblPr>
        <w:tblW w:type="auto" w:w="0"/>
        <w:jc w:val="center"/>
        <w:tblLayout w:type="fixed"/>
        <w:tblLook w:firstColumn="1" w:firstRow="1" w:lastColumn="0" w:lastRow="0" w:noHBand="0" w:noVBand="1" w:val="04A0"/>
      </w:tblPr>
      <w:tblGrid>
        <w:gridCol w:w="2381"/>
        <w:gridCol w:w="7257"/>
      </w:tblGrid>
      <w:tr>
        <w:trPr>
          <w:cantSplit w:val="true"/>
          <w:trHeight w:val="822"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Gebäude</w:t>
            </w:r>
          </w:p>
          <w:p>
            <w:pPr>
              <w:spacing w:after="20"/>
            </w:pPr>
            <w:r>
              <w:rPr>
                <w:rFonts w:ascii="Aptos" w:hAnsi="Aptos" w:cs="Aptos" w:eastAsia="Aptos"/>
                <w:b w:val="0"/>
                <w:i/>
                <w:color w:val="7A6A55"/>
                <w:sz w:val="16"/>
              </w:rPr>
              <w:t>Alter, Grundriss, Umbauten, Erweiterungen</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822"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Betriebsart und Spitzen</w:t>
            </w:r>
          </w:p>
          <w:p>
            <w:pPr>
              <w:spacing w:after="20"/>
            </w:pPr>
            <w:r>
              <w:rPr>
                <w:rFonts w:ascii="Aptos" w:hAnsi="Aptos" w:cs="Aptos" w:eastAsia="Aptos"/>
                <w:b w:val="0"/>
                <w:i/>
                <w:color w:val="7A6A55"/>
                <w:sz w:val="16"/>
              </w:rPr>
              <w:t>Saison, Feste, Feiertage, Großereignisse</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822"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Beschäftigte</w:t>
            </w:r>
          </w:p>
          <w:p>
            <w:pPr>
              <w:spacing w:after="20"/>
            </w:pPr>
            <w:r>
              <w:rPr>
                <w:rFonts w:ascii="Aptos" w:hAnsi="Aptos" w:cs="Aptos" w:eastAsia="Aptos"/>
                <w:b w:val="0"/>
                <w:i/>
                <w:color w:val="7A6A55"/>
                <w:sz w:val="16"/>
              </w:rPr>
              <w:t>Stamm- und Saisonpersonal, Sprachen im Haus, Nachtbesetzung</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38"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Oberste Leitung</w:t>
            </w:r>
          </w:p>
          <w:p>
            <w:pPr>
              <w:spacing w:after="20"/>
            </w:pPr>
            <w:r>
              <w:rPr>
                <w:rFonts w:ascii="Aptos" w:hAnsi="Aptos" w:cs="Aptos" w:eastAsia="Aptos"/>
                <w:b w:val="0"/>
                <w:i/>
                <w:color w:val="7A6A55"/>
                <w:sz w:val="16"/>
              </w:rPr>
              <w:t>wer die Rechenschaft trägt (Norm 5.1)</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40"/>
      </w:pPr>
      <w:r>
        <w:rPr>
          <w:rFonts w:ascii="Aptos" w:hAnsi="Aptos" w:cs="Aptos" w:eastAsia="Aptos"/>
          <w:b w:val="0"/>
          <w:i w:val="0"/>
          <w:sz w:val="19"/>
        </w:rPr>
        <w:t>Bereiche mit eigener Gefahrenlandschaft (Zonen laut Abschnitt 1.2):</w:t>
      </w:r>
    </w:p>
    <w:p>
      <w:pPr>
        <w:spacing w:after="60"/>
        <w:ind w:left="0"/>
      </w:pPr>
      <w:r>
        <w:rPr>
          <w:rFonts w:ascii="Aptos" w:hAnsi="Aptos" w:cs="Aptos" w:eastAsia="Aptos"/>
          <w:b w:val="0"/>
          <w:i w:val="0"/>
          <w:sz w:val="19"/>
        </w:rPr>
      </w:r>
      <w:r>
        <w:rPr>
          <w:rFonts w:ascii="Aptos" w:hAnsi="Aptos" w:cs="Aptos" w:eastAsia="Aptos"/>
          <w:b w:val="0"/>
          <w:i w:val="0"/>
          <w:color w:val="8C5A2B"/>
          <w:sz w:val="19"/>
        </w:rPr>
        <w:t xml:space="preserve">   ☐ Küche     ☐ Wäscherei     ☐ Wellness &amp; Bad     ☐ Technik &amp; Dach     ☐ Keller &amp; Lager     ☐ Front Office &amp; Nacht</w:t>
      </w:r>
    </w:p>
    <w:p>
      <w:pPr>
        <w:spacing w:after="60"/>
        <w:ind w:left="0"/>
      </w:pPr>
      <w:r>
        <w:rPr>
          <w:rFonts w:ascii="Aptos" w:hAnsi="Aptos" w:cs="Aptos" w:eastAsia="Aptos"/>
          <w:b w:val="0"/>
          <w:i w:val="0"/>
          <w:sz w:val="19"/>
        </w:rPr>
        <w:t>weitere Zonen des Hauses (z. B. Personalgänge, Dienstbotentreppe, Anlieferung, Lastenaufzug):  ____________________________________</w:t>
      </w:r>
    </w:p>
    <w:p>
      <w:pPr>
        <w:keepNext/>
        <w:pageBreakBefore/>
        <w:spacing w:before="280" w:after="80"/>
        <w:pBdr>
          <w:bottom w:val="single" w:sz="6" w:space="2" w:color="C9BBA6"/>
        </w:pBdr>
      </w:pPr>
      <w:r>
        <w:rPr>
          <w:rFonts w:ascii="Aptos" w:hAnsi="Aptos" w:cs="Aptos" w:eastAsia="Aptos"/>
          <w:b/>
          <w:color w:val="8C5A2B"/>
          <w:sz w:val="28"/>
        </w:rPr>
        <w:t>B   Externe und interne Themen (Norm 4.1)</w:t>
      </w:r>
    </w:p>
    <w:p>
      <w:pPr>
        <w:spacing w:after="80"/>
      </w:pPr>
      <w:r>
        <w:rPr>
          <w:rFonts w:ascii="Aptos" w:hAnsi="Aptos" w:cs="Aptos" w:eastAsia="Aptos"/>
          <w:b w:val="0"/>
          <w:i/>
          <w:color w:val="7A6A55"/>
          <w:sz w:val="18"/>
        </w:rPr>
        <w:t>Die vorgedruckten Themen stammen aus Abschnitt 1.2. Streichen Sie, was bei Ihnen nicht zutrifft, und ergänzen Sie, was fehlt. Die Norm verlangt das Ergebnis, das Kennen des eigenen Geländes, keine bestimmte Methode: weder SWOT noch PESTEL noch eine Software.</w:t>
      </w:r>
    </w:p>
    <w:p>
      <w:pPr>
        <w:keepNext/>
        <w:spacing w:before="160" w:after="60"/>
      </w:pPr>
      <w:r>
        <w:rPr>
          <w:rFonts w:ascii="Aptos" w:hAnsi="Aptos" w:cs="Aptos" w:eastAsia="Aptos"/>
          <w:b/>
          <w:color w:val="8C5A2B"/>
          <w:sz w:val="23"/>
        </w:rPr>
        <w:t>B1  Externe Themen</w:t>
      </w:r>
    </w:p>
    <w:tbl>
      <w:tblPr>
        <w:tblW w:type="auto" w:w="0"/>
        <w:jc w:val="center"/>
        <w:tblLayout w:type="fixed"/>
        <w:tblLook w:firstColumn="1" w:firstRow="1" w:lastColumn="0" w:lastRow="0" w:noHBand="0" w:noVBand="1" w:val="04A0"/>
      </w:tblPr>
      <w:tblGrid>
        <w:gridCol w:w="2835"/>
        <w:gridCol w:w="4536"/>
        <w:gridCol w:w="2268"/>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Thema</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gilt dafür in unserem Haus?</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Betroffene Zonen</w:t>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Klimawandel, Hitzewellen (siehe Teil D)</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Arbeitsschutzrecht und seine Vollzugsbehörden</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Angespannter Arbeitsmarkt</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Saisonale Dichte der Gäste</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Erwartungen der Veranstalter großer Ereignisse</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0" w:line="120" w:lineRule="auto"/>
      </w:pPr>
    </w:p>
    <w:p>
      <w:pPr>
        <w:keepNext/>
        <w:spacing w:before="160" w:after="60"/>
      </w:pPr>
      <w:r>
        <w:rPr>
          <w:rFonts w:ascii="Aptos" w:hAnsi="Aptos" w:cs="Aptos" w:eastAsia="Aptos"/>
          <w:b/>
          <w:color w:val="8C5A2B"/>
          <w:sz w:val="23"/>
        </w:rPr>
        <w:t>B2  Interne Themen</w:t>
      </w:r>
    </w:p>
    <w:tbl>
      <w:tblPr>
        <w:tblW w:type="auto" w:w="0"/>
        <w:jc w:val="center"/>
        <w:tblLayout w:type="fixed"/>
        <w:tblLook w:firstColumn="1" w:firstRow="1" w:lastColumn="0" w:lastRow="0" w:noHBand="0" w:noVBand="1" w:val="04A0"/>
      </w:tblPr>
      <w:tblGrid>
        <w:gridCol w:w="2835"/>
        <w:gridCol w:w="4536"/>
        <w:gridCol w:w="2268"/>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Thema</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Was gilt dafür in unserem Haus?</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Betroffene Zonen</w:t>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Alter und Grundriss des Gebäudes</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Mischung aus Stamm- und Saisonpersonal</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Sprachen, die in der Küche gesprochen werden</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Zustand der Technik</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38" w:hRule="atLeast"/>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0" w:line="120" w:lineRule="auto"/>
      </w:pPr>
    </w:p>
    <w:p>
      <w:pPr>
        <w:keepNext/>
        <w:spacing w:before="160" w:after="60"/>
      </w:pPr>
      <w:r>
        <w:rPr>
          <w:rFonts w:ascii="Aptos" w:hAnsi="Aptos" w:cs="Aptos" w:eastAsia="Aptos"/>
          <w:b/>
          <w:color w:val="8C5A2B"/>
          <w:sz w:val="23"/>
        </w:rPr>
        <w:t>B3  Zusammenspiel der Themen</w:t>
      </w:r>
    </w:p>
    <w:p>
      <w:pPr>
        <w:spacing w:after="60"/>
      </w:pPr>
      <w:r>
        <w:rPr>
          <w:rFonts w:ascii="Aptos" w:hAnsi="Aptos" w:cs="Aptos" w:eastAsia="Aptos"/>
          <w:b w:val="0"/>
          <w:i w:val="0"/>
          <w:sz w:val="18"/>
        </w:rPr>
        <w:t>Kontextanalyse heißt nicht, Faktoren aufzulisten, sondern ihr Zusammenspiel zu sehen (Abschnitt 1.2).</w:t>
      </w:r>
    </w:p>
    <w:tbl>
      <w:tblPr>
        <w:tblW w:type="auto" w:w="0"/>
        <w:jc w:val="center"/>
        <w:tblLayout w:type="fixed"/>
        <w:tblLook w:firstColumn="1" w:firstRow="1" w:lastColumn="0" w:lastRow="0" w:noHBand="0" w:noVBand="1" w:val="04A0"/>
      </w:tblPr>
      <w:tblGrid>
        <w:gridCol w:w="5103"/>
        <w:gridCol w:w="4536"/>
      </w:tblGrid>
      <w:tr>
        <w:trPr>
          <w:tblHeader w:val="true"/>
        </w:trPr>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Thema A  ×  Thema B</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Folge für die Gefahr</w:t>
            </w:r>
          </w:p>
        </w:tc>
      </w:tr>
      <w:tr>
        <w:trPr>
          <w:cantSplit w:val="true"/>
          <w:trHeight w:val="567"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Beispiel: Fachkräftemangel (extern) trifft auf ein altes, verwinkeltes Gebäude (intern)</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unerfahrene Saisonkräfte auf gefährlichen Wegen</w:t>
            </w:r>
          </w:p>
        </w:tc>
      </w:tr>
      <w:tr>
        <w:trPr>
          <w:cantSplit w:val="true"/>
          <w:trHeight w:val="567"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Beispiel: Klimaerhitzung (extern) trifft auf eine Küche ohne ausreichende Lüftung (intern)</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aus einem heißen Arbeitsplatz wird ein gesundheitsgefährdender</w:t>
            </w:r>
          </w:p>
        </w:tc>
      </w:tr>
      <w:tr>
        <w:trPr>
          <w:cantSplit w:val="true"/>
          <w:trHeight w:val="567"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0" w:line="120" w:lineRule="auto"/>
      </w:pPr>
    </w:p>
    <w:p>
      <w:pPr>
        <w:sectPr>
          <w:footerReference w:type="default" r:id="rId9"/>
          <w:pgSz w:w="11906" w:h="16838"/>
          <w:pgMar w:top="1134" w:right="1134" w:bottom="1134" w:left="1134" w:header="720" w:footer="720" w:gutter="0"/>
          <w:cols w:space="720"/>
          <w:docGrid w:linePitch="360"/>
        </w:sectPr>
      </w:pPr>
    </w:p>
    <w:p>
      <w:pPr>
        <w:keepNext/>
        <w:pageBreakBefore w:val="0"/>
        <w:spacing w:before="280" w:after="80"/>
        <w:pBdr>
          <w:bottom w:val="single" w:sz="6" w:space="2" w:color="C9BBA6"/>
        </w:pBdr>
      </w:pPr>
      <w:r>
        <w:rPr>
          <w:rFonts w:ascii="Aptos" w:hAnsi="Aptos" w:cs="Aptos" w:eastAsia="Aptos"/>
          <w:b/>
          <w:color w:val="8C5A2B"/>
          <w:sz w:val="28"/>
        </w:rPr>
        <w:t>C   Gefahrengeografie: Zonen × Zeit</w:t>
      </w:r>
    </w:p>
    <w:p>
      <w:pPr>
        <w:spacing w:after="60"/>
      </w:pPr>
      <w:r>
        <w:rPr>
          <w:rFonts w:ascii="Aptos" w:hAnsi="Aptos" w:cs="Aptos" w:eastAsia="Aptos"/>
          <w:b w:val="0"/>
          <w:i/>
          <w:color w:val="7A6A55"/>
          <w:sz w:val="17"/>
        </w:rPr>
        <w:t>Beispiel aus Abschnitt 1.2 (Tabelle 1): Küche, Hitze, Schnitt, Verbrennung, Sturz; Köche und Küchenhilfen; Service-Spitzen, Sommer. Die Küche im ruhigen März kommt mit der Grundausstattung aus, im überfüllten August braucht sie zusätzliche Hände, klarere Wege und engere Aufsicht. Tragen Sie ein, was in Ihrem Haus gilt.</w:t>
      </w:r>
    </w:p>
    <w:tbl>
      <w:tblPr>
        <w:tblW w:type="auto" w:w="0"/>
        <w:jc w:val="center"/>
        <w:tblLayout w:type="fixed"/>
        <w:tblLook w:firstColumn="1" w:firstRow="1" w:lastColumn="0" w:lastRow="0" w:noHBand="0" w:noVBand="1" w:val="04A0"/>
      </w:tblPr>
      <w:tblGrid>
        <w:gridCol w:w="1814"/>
        <w:gridCol w:w="2381"/>
        <w:gridCol w:w="1814"/>
        <w:gridCol w:w="2097"/>
        <w:gridCol w:w="2097"/>
        <w:gridCol w:w="1927"/>
        <w:gridCol w:w="2438"/>
      </w:tblGrid>
      <w:tr>
        <w:trPr>
          <w:tblHeader w:val="true"/>
        </w:trPr>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Zone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Vorherrschende Gefahr</w:t>
            </w:r>
          </w:p>
        </w:tc>
        <w:tc>
          <w:tcPr>
            <w:tcW w:type="dxa" w:w="181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Wer ist exponiert</w:t>
            </w:r>
          </w:p>
        </w:tc>
        <w:tc>
          <w:tcPr>
            <w:tcW w:type="dxa" w:w="209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Saison</w:t>
            </w:r>
          </w:p>
        </w:tc>
        <w:tc>
          <w:tcPr>
            <w:tcW w:type="dxa" w:w="209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Auslastung</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Wetter</w:t>
            </w:r>
          </w:p>
        </w:tc>
        <w:tc>
          <w:tcPr>
            <w:tcW w:type="dxa" w:w="243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Tageszeit, Nachtbetrieb</w:t>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Küche</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Wäscherei</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Wellness &amp; Bad</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Technik &amp; Dach</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Keller &amp; Lager</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Front Office &amp; Nacht</w:t>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850" w:hRule="atLeast"/>
        </w:trPr>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1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0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43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spacing w:after="0"/>
      </w:pPr>
      <w:r>
        <w:rPr>
          <w:rFonts w:ascii="Aptos" w:hAnsi="Aptos" w:cs="Aptos" w:eastAsia="Aptos"/>
          <w:b w:val="0"/>
          <w:i/>
          <w:color w:val="7A6A55"/>
          <w:sz w:val="17"/>
        </w:rPr>
        <w:t>„Wann es sich zuspitzt“ lesen Sie in den Spalten Saison bis Tageszeit. Dieselbe Zone verlangt zu verschiedenen Zeiten verschiedenen Schutz; wer nur die Zone sieht und nicht ihre Spitze, rüstet für den Durchschnitt.</w:t>
      </w:r>
    </w:p>
    <w:p>
      <w:pPr>
        <w:sectPr>
          <w:pgSz w:w="16838" w:h="11906" w:orient="landscape"/>
          <w:pgMar w:top="1134" w:right="1134" w:bottom="1134" w:left="1134" w:header="720" w:footer="720" w:gutter="0"/>
          <w:cols w:space="720"/>
          <w:docGrid w:linePitch="360"/>
        </w:sectPr>
      </w:pPr>
    </w:p>
    <w:p>
      <w:pPr>
        <w:keepNext/>
        <w:pageBreakBefore w:val="0"/>
        <w:spacing w:before="280" w:after="80"/>
        <w:pBdr>
          <w:bottom w:val="single" w:sz="6" w:space="2" w:color="C9BBA6"/>
        </w:pBdr>
      </w:pPr>
      <w:r>
        <w:rPr>
          <w:rFonts w:ascii="Aptos" w:hAnsi="Aptos" w:cs="Aptos" w:eastAsia="Aptos"/>
          <w:b/>
          <w:color w:val="8C5A2B"/>
          <w:sz w:val="28"/>
        </w:rPr>
        <w:t>C   Gefahrengeografie: Wege und Grenzen</w:t>
      </w:r>
    </w:p>
    <w:p>
      <w:pPr>
        <w:keepNext/>
        <w:spacing w:before="160" w:after="60"/>
      </w:pPr>
      <w:r>
        <w:rPr>
          <w:rFonts w:ascii="Aptos" w:hAnsi="Aptos" w:cs="Aptos" w:eastAsia="Aptos"/>
          <w:b/>
          <w:color w:val="8C5A2B"/>
          <w:sz w:val="23"/>
        </w:rPr>
        <w:t>C2  Wege der Arbeit</w:t>
      </w:r>
    </w:p>
    <w:p>
      <w:pPr>
        <w:spacing w:after="60"/>
      </w:pPr>
      <w:r>
        <w:rPr>
          <w:rFonts w:ascii="Aptos" w:hAnsi="Aptos" w:cs="Aptos" w:eastAsia="Aptos"/>
          <w:b w:val="0"/>
          <w:i w:val="0"/>
          <w:sz w:val="18"/>
        </w:rPr>
        <w:t>Der Rundgang gewinnt, wenn er der Bewegung der Arbeit folgt statt der Bequemlichkeit des Aufzugs. Wer die Wege geht, die das Personal täglich geht, sieht die Gefahren, die das Personal täglich trifft.</w:t>
      </w:r>
    </w:p>
    <w:tbl>
      <w:tblPr>
        <w:tblW w:type="auto" w:w="0"/>
        <w:jc w:val="center"/>
        <w:tblLayout w:type="fixed"/>
        <w:tblLook w:firstColumn="1" w:firstRow="1" w:lastColumn="0" w:lastRow="0" w:noHBand="0" w:noVBand="1" w:val="04A0"/>
      </w:tblPr>
      <w:tblGrid>
        <w:gridCol w:w="3515"/>
        <w:gridCol w:w="3969"/>
        <w:gridCol w:w="2154"/>
      </w:tblGrid>
      <w:tr>
        <w:trPr>
          <w:tblHeader w:val="true"/>
        </w:trPr>
        <w:tc>
          <w:tcPr>
            <w:tcW w:type="dxa" w:w="351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Weg (von – nach)</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Gefahren entlang des Weges</w:t>
            </w:r>
          </w:p>
        </w:tc>
        <w:tc>
          <w:tcPr>
            <w:tcW w:type="dxa" w:w="215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Zonen, die er verbindet</w:t>
            </w:r>
          </w:p>
        </w:tc>
      </w:tr>
      <w:tr>
        <w:trPr>
          <w:cantSplit w:val="true"/>
          <w:trHeight w:val="652"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Weg der schmutzigen Wäsche: von der Etage in den Keller</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Weg des Tellers: von der Anlieferung über die Küche bis zum Spülbereich</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Weg der Technik: vom Werkraum aufs Dach</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652" w:hRule="atLeast"/>
        </w:trPr>
        <w:tc>
          <w:tcPr>
            <w:tcW w:type="dxa" w:w="351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15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0" w:line="120" w:lineRule="auto"/>
      </w:pPr>
    </w:p>
    <w:p>
      <w:pPr>
        <w:keepNext/>
        <w:spacing w:before="160" w:after="60"/>
      </w:pPr>
      <w:r>
        <w:rPr>
          <w:rFonts w:ascii="Aptos" w:hAnsi="Aptos" w:cs="Aptos" w:eastAsia="Aptos"/>
          <w:b/>
          <w:color w:val="8C5A2B"/>
          <w:sz w:val="23"/>
        </w:rPr>
        <w:t>C3  Gefahren, die Abteilungsgrenzen überschreiten</w:t>
      </w:r>
    </w:p>
    <w:p>
      <w:pPr>
        <w:spacing w:after="60"/>
      </w:pPr>
      <w:r>
        <w:rPr>
          <w:rFonts w:ascii="Aptos" w:hAnsi="Aptos" w:cs="Aptos" w:eastAsia="Aptos"/>
          <w:b w:val="0"/>
          <w:i w:val="0"/>
          <w:sz w:val="18"/>
        </w:rPr>
        <w:t>Die Geografie der Gefahr ist eine Landschaft, kein Organigramm. Zeichnen Sie die Karte nicht nach Abteilungen.</w:t>
      </w:r>
    </w:p>
    <w:tbl>
      <w:tblPr>
        <w:tblW w:type="auto" w:w="0"/>
        <w:jc w:val="center"/>
        <w:tblLayout w:type="fixed"/>
        <w:tblLook w:firstColumn="1" w:firstRow="1" w:lastColumn="0" w:lastRow="0" w:noHBand="0" w:noVBand="1" w:val="04A0"/>
      </w:tblPr>
      <w:tblGrid>
        <w:gridCol w:w="4819"/>
        <w:gridCol w:w="4819"/>
      </w:tblGrid>
      <w:tr>
        <w:trPr>
          <w:tblHeader w:val="true"/>
        </w:trPr>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Gefahr / Stelle</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Betroffene Abteilungen und Zonen</w:t>
            </w:r>
          </w:p>
        </w:tc>
      </w:tr>
      <w:tr>
        <w:trPr>
          <w:cantSplit w:val="true"/>
          <w:trHeight w:val="567"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Beispiel: nasser Boden vor dem Lastenaufzug</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Wäscherei, Anlieferung, Etagenservice</w:t>
            </w:r>
          </w:p>
        </w:tc>
      </w:tr>
      <w:tr>
        <w:trPr>
          <w:cantSplit w:val="true"/>
          <w:trHeight w:val="567"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Beispiel: Hitze der Küche reicht bis in den Spülbereich</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color w:val="7A6A55"/>
                <w:sz w:val="18"/>
              </w:rPr>
              <w:t>Küche, Spülbereich, Durchreiche</w:t>
            </w:r>
          </w:p>
        </w:tc>
      </w:tr>
      <w:tr>
        <w:trPr>
          <w:cantSplit w:val="true"/>
          <w:trHeight w:val="567"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567" w:hRule="atLeast"/>
        </w:trPr>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D   Klima und Hitze als relevantes Thema</w:t>
      </w:r>
    </w:p>
    <w:p>
      <w:pPr>
        <w:spacing w:after="60"/>
      </w:pPr>
      <w:r>
        <w:rPr>
          <w:rFonts w:ascii="Aptos" w:hAnsi="Aptos" w:cs="Aptos" w:eastAsia="Aptos"/>
          <w:b w:val="0"/>
          <w:i w:val="0"/>
          <w:sz w:val="18"/>
        </w:rPr>
        <w:t>Seit der Klima-Änderung von 2024 ist in 4.1 zu bestimmen, ob der Klimawandel ein relevantes Thema ist; 4.2 enthält dazu einen Hinweis zu den interessierten Parteien. Verlangt ist die Prüfung, nicht die Rettung des Klimas. In einem Betrieb mit Hitze, Feuchte und körperlicher Arbeit ist die Antwort laut Buch selten ein Nein.</w:t>
      </w:r>
    </w:p>
    <w:p>
      <w:pPr>
        <w:spacing w:after="60"/>
        <w:ind w:left="0"/>
      </w:pPr>
      <w:r>
        <w:rPr>
          <w:rFonts w:ascii="Aptos" w:hAnsi="Aptos" w:cs="Aptos" w:eastAsia="Aptos"/>
          <w:b w:val="0"/>
          <w:i w:val="0"/>
          <w:sz w:val="20"/>
        </w:rPr>
        <w:t>Ist der Klimawandel (Hitzewellen) für unser Haus ein relevantes Thema?</w:t>
      </w:r>
      <w:r>
        <w:rPr>
          <w:rFonts w:ascii="Aptos" w:hAnsi="Aptos" w:cs="Aptos" w:eastAsia="Aptos"/>
          <w:b w:val="0"/>
          <w:i w:val="0"/>
          <w:color w:val="8C5A2B"/>
          <w:sz w:val="20"/>
        </w:rPr>
        <w:t xml:space="preserve">   ☐ ja     ☐ nein</w:t>
      </w:r>
    </w:p>
    <w:tbl>
      <w:tblPr>
        <w:tblW w:type="auto" w:w="0"/>
        <w:jc w:val="center"/>
        <w:tblLayout w:type="fixed"/>
        <w:tblLook w:firstColumn="1" w:firstRow="1" w:lastColumn="0" w:lastRow="0" w:noHBand="0" w:noVBand="1" w:val="04A0"/>
      </w:tblPr>
      <w:tblGrid>
        <w:gridCol w:w="2381"/>
        <w:gridCol w:w="7257"/>
      </w:tblGrid>
      <w:tr>
        <w:trPr>
          <w:cantSplit w:val="true"/>
          <w:trHeight w:val="850"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Begründung</w:t>
            </w:r>
          </w:p>
          <w:p>
            <w:pPr>
              <w:spacing w:after="20"/>
            </w:pPr>
            <w:r>
              <w:rPr>
                <w:rFonts w:ascii="Aptos" w:hAnsi="Aptos" w:cs="Aptos" w:eastAsia="Aptos"/>
                <w:b w:val="0"/>
                <w:i/>
                <w:color w:val="7A6A55"/>
                <w:sz w:val="16"/>
              </w:rPr>
              <w:t>Auch bei „nein“ festhalten, warum</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3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Betroffene Zonen und Tageszeiten</w:t>
            </w:r>
          </w:p>
          <w:p>
            <w:pPr>
              <w:spacing w:after="20"/>
            </w:pPr>
            <w:r>
              <w:rPr>
                <w:rFonts w:ascii="Aptos" w:hAnsi="Aptos" w:cs="Aptos" w:eastAsia="Aptos"/>
                <w:b w:val="0"/>
                <w:i/>
                <w:color w:val="7A6A55"/>
                <w:sz w:val="16"/>
              </w:rPr>
              <w:t>z. B. Küche, Wäscherei, Spülküche, Dachgeschosse ohne Kühlung</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623"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Parteien mit Anforderungen zum Klimawandel</w:t>
            </w:r>
          </w:p>
          <w:p>
            <w:pPr>
              <w:spacing w:after="20"/>
            </w:pPr>
            <w:r>
              <w:rPr>
                <w:rFonts w:ascii="Aptos" w:hAnsi="Aptos" w:cs="Aptos" w:eastAsia="Aptos"/>
                <w:b w:val="0"/>
                <w:i/>
                <w:color w:val="7A6A55"/>
                <w:sz w:val="16"/>
              </w:rPr>
              <w:t>Hinweis in 4.2, vgl. Register Abschnitt 1.3</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E   Wechselwirkung mit den interessierten Parteien</w:t>
      </w:r>
    </w:p>
    <w:p>
      <w:pPr>
        <w:spacing w:after="60"/>
      </w:pPr>
      <w:r>
        <w:rPr>
          <w:rFonts w:ascii="Aptos" w:hAnsi="Aptos" w:cs="Aptos" w:eastAsia="Aptos"/>
          <w:b w:val="0"/>
          <w:i w:val="0"/>
          <w:sz w:val="18"/>
        </w:rPr>
        <w:t>Die Bestimmung der Parteien und ihrer relevanten Erfordernisse gehört in das Register der interessierten Parteien (Abschnitt 1.3, Norm 4.2). Hier halten Sie nur fest, wo Parteien auf die Geografie der Gefahr treffen. Die Beschäftigten sind stets eine relevante Partei.</w:t>
      </w:r>
    </w:p>
    <w:tbl>
      <w:tblPr>
        <w:tblW w:type="auto" w:w="0"/>
        <w:jc w:val="center"/>
        <w:tblLayout w:type="fixed"/>
        <w:tblLook w:firstColumn="1" w:firstRow="1" w:lastColumn="0" w:lastRow="0" w:noHBand="0" w:noVBand="1" w:val="04A0"/>
      </w:tblPr>
      <w:tblGrid>
        <w:gridCol w:w="2608"/>
        <w:gridCol w:w="4536"/>
        <w:gridCol w:w="2494"/>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Partei (laut 1.3)</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Berührt welche Zone oder welches Thema?</w:t>
            </w:r>
          </w:p>
        </w:tc>
        <w:tc>
          <w:tcPr>
            <w:tcW w:type="dxa" w:w="249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Hinweis ins Register</w:t>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Beschäftigte</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Arbeitnehmervertretung</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Gewerkschaft</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Unfallversicherer</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Aufsichtsbehörde</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Fremdfirmen &amp; Leiharbeit</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Gäste &amp; Dritte</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r>
        <w:trPr>
          <w:cantSplit w:val="true"/>
          <w:trHeight w:val="408"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Firmenkunden</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c>
          <w:tcPr>
            <w:tcW w:type="dxa" w:w="249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F   Schlussfolgerung</w:t>
      </w:r>
    </w:p>
    <w:tbl>
      <w:tblPr>
        <w:tblW w:type="auto" w:w="0"/>
        <w:jc w:val="center"/>
        <w:tblLayout w:type="fixed"/>
        <w:tblLook w:firstColumn="1" w:firstRow="1" w:lastColumn="0" w:lastRow="0" w:noHBand="0" w:noVBand="1" w:val="04A0"/>
      </w:tblPr>
      <w:tblGrid>
        <w:gridCol w:w="2381"/>
        <w:gridCol w:w="7257"/>
      </w:tblGrid>
      <w:tr>
        <w:trPr>
          <w:cantSplit w:val="true"/>
          <w:trHeight w:val="73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Die drei gefährlichsten Zonen</w:t>
            </w:r>
          </w:p>
          <w:p>
            <w:pPr>
              <w:spacing w:after="20"/>
            </w:pPr>
            <w:r>
              <w:rPr>
                <w:rFonts w:ascii="Aptos" w:hAnsi="Aptos" w:cs="Aptos" w:eastAsia="Aptos"/>
                <w:b w:val="0"/>
                <w:i/>
                <w:color w:val="7A6A55"/>
                <w:sz w:val="16"/>
              </w:rPr>
              <w:t>und warum sie es sind</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623"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Die drei Zonen, in denen wenig geschieht</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963"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Entscheidungen, die diese Karte auslöst</w:t>
            </w:r>
          </w:p>
          <w:p>
            <w:pPr>
              <w:spacing w:after="20"/>
            </w:pPr>
            <w:r>
              <w:rPr>
                <w:rFonts w:ascii="Aptos" w:hAnsi="Aptos" w:cs="Aptos" w:eastAsia="Aptos"/>
                <w:b w:val="0"/>
                <w:i/>
                <w:color w:val="7A6A55"/>
                <w:sz w:val="16"/>
              </w:rPr>
              <w:t>Schutz, Mittel, Begehung, Unterweisung; Übergabe an die Gefährdungsbeurteilung (6.1.2)</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60"/>
        <w:ind w:left="0"/>
      </w:pPr>
      <w:r>
        <w:rPr>
          <w:rFonts w:ascii="Aptos" w:hAnsi="Aptos" w:cs="Aptos" w:eastAsia="Aptos"/>
          <w:b w:val="0"/>
          <w:i w:val="0"/>
          <w:sz w:val="19"/>
        </w:rPr>
        <w:t>Prüfstein: Würde dieses Blatt jemandem, der das Haus nicht kennt, zeigen, wo und wann es gefährlich ist?</w:t>
      </w:r>
      <w:r>
        <w:rPr>
          <w:rFonts w:ascii="Aptos" w:hAnsi="Aptos" w:cs="Aptos" w:eastAsia="Aptos"/>
          <w:b w:val="0"/>
          <w:i w:val="0"/>
          <w:color w:val="8C5A2B"/>
          <w:sz w:val="19"/>
        </w:rPr>
        <w:t xml:space="preserve">   ☐ ja     ☐ nein</w:t>
      </w:r>
    </w:p>
    <w:p>
      <w:pPr>
        <w:spacing w:after="60"/>
        <w:ind w:left="0"/>
      </w:pPr>
      <w:r>
        <w:rPr>
          <w:rFonts w:ascii="Aptos" w:hAnsi="Aptos" w:cs="Aptos" w:eastAsia="Aptos"/>
          <w:b w:val="0"/>
          <w:i w:val="0"/>
          <w:sz w:val="19"/>
        </w:rPr>
        <w:t>Standort der Karte (Reifegrad, Abschnitt 1.2):</w:t>
      </w:r>
      <w:r>
        <w:rPr>
          <w:rFonts w:ascii="Aptos" w:hAnsi="Aptos" w:cs="Aptos" w:eastAsia="Aptos"/>
          <w:b w:val="0"/>
          <w:i w:val="0"/>
          <w:color w:val="8C5A2B"/>
          <w:sz w:val="19"/>
        </w:rPr>
        <w:t xml:space="preserve">   ☐ 1 Pauschal     ☐ 2 Brennpunkte     ☐ 3 Kartiert     ☐ 4 Lebendig</w:t>
      </w:r>
    </w:p>
    <w:p>
      <w:pPr>
        <w:keepNext/>
        <w:pageBreakBefore w:val="0"/>
        <w:spacing w:before="280" w:after="80"/>
        <w:pBdr>
          <w:bottom w:val="single" w:sz="6" w:space="2" w:color="C9BBA6"/>
        </w:pBdr>
      </w:pPr>
      <w:r>
        <w:rPr>
          <w:rFonts w:ascii="Aptos" w:hAnsi="Aptos" w:cs="Aptos" w:eastAsia="Aptos"/>
          <w:b/>
          <w:color w:val="8C5A2B"/>
          <w:sz w:val="28"/>
        </w:rPr>
        <w:t>G   Aktualisierung</w:t>
      </w:r>
    </w:p>
    <w:p>
      <w:pPr>
        <w:spacing w:after="40"/>
      </w:pPr>
      <w:r>
        <w:rPr>
          <w:rFonts w:ascii="Aptos" w:hAnsi="Aptos" w:cs="Aptos" w:eastAsia="Aptos"/>
          <w:b w:val="0"/>
          <w:i w:val="0"/>
          <w:sz w:val="19"/>
        </w:rPr>
        <w:t>Anlass dieser Überprüfung:</w:t>
      </w:r>
    </w:p>
    <w:p>
      <w:pPr>
        <w:spacing w:after="60"/>
        <w:ind w:left="0"/>
      </w:pPr>
      <w:r>
        <w:rPr>
          <w:rFonts w:ascii="Aptos" w:hAnsi="Aptos" w:cs="Aptos" w:eastAsia="Aptos"/>
          <w:b w:val="0"/>
          <w:i w:val="0"/>
          <w:sz w:val="18"/>
        </w:rPr>
      </w:r>
      <w:r>
        <w:rPr>
          <w:rFonts w:ascii="Aptos" w:hAnsi="Aptos" w:cs="Aptos" w:eastAsia="Aptos"/>
          <w:b w:val="0"/>
          <w:i w:val="0"/>
          <w:color w:val="8C5A2B"/>
          <w:sz w:val="18"/>
        </w:rPr>
        <w:t xml:space="preserve">   ☐ erste Erfassung     ☐ Umbau     ☐ neue Anlage     ☐ neue Dienstleistung     ☐ Vorfall     ☐ Beinahe-Unfall     ☐ Saisonwechsel     ☐ Auslastungswechsel</w:t>
      </w:r>
    </w:p>
    <w:p>
      <w:pPr>
        <w:spacing w:after="60"/>
      </w:pPr>
      <w:r>
        <w:rPr>
          <w:rFonts w:ascii="Aptos" w:hAnsi="Aptos" w:cs="Aptos" w:eastAsia="Aptos"/>
          <w:b w:val="0"/>
          <w:i/>
          <w:color w:val="7A6A55"/>
          <w:sz w:val="18"/>
        </w:rPr>
        <w:t>Tritt einer dieser Auslöser ein, wird die betroffene Zone erneut betrachtet. Mindestens bei jedem Saison- und Auslastungswechsel wird die Karte geprüft.</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Nächste Überprüfung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Zuständig</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Geprüft (Leitung)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Datum, Unterschrift</w:t>
            </w:r>
          </w:p>
        </w:tc>
        <w:tc>
          <w:tcPr>
            <w:tcW w:type="dxa" w:w="3005"/>
            <w:tcBorders>
              <w:bottom w:val="single" w:sz="6" w:space="0" w:color="C9BBA6"/>
            </w:tcBorders>
          </w:tcPr>
          <w:p>
            <w:pPr>
              <w:spacing w:after="20"/>
            </w:pPr>
          </w:p>
        </w:tc>
      </w:tr>
    </w:tbl>
    <w:p>
      <w:pPr>
        <w:spacing w:after="0" w:line="40" w:lineRule="exact"/>
      </w:pPr>
      <w:r>
        <w:rPr>
          <w:sz w:val="4"/>
        </w:rPr>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8"/>
        </w:rPr>
        <w:t>Keine Gefährdungsbeurteilung: Die Vorlage liefert den Rahmen, die einzelnen Gefährdungen ermittelt die Beurteilung nach 6.1.2. Sie schreibt keine Methode vor (weder SWOT noch PESTEL noch Heatmap-Software). Sie ersetzt weder die Norm noch eine Rechtsberatung; verbindlich ist die jeweils gültige Fassung von Gesetz und Norm. Maßgeblich ist heute die ISO 45001:2018 (EN ISO 45001:2023, ergänzt um die Klima-Änderung A1:2024); die Revision (ISO/DIS 45001, 2027 erwartet) ist ein Entwurf und bindet nicht.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