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" w:hAnsi="Aptos" w:cs="Aptos" w:eastAsia="Aptos"/>
          <w:b/>
          <w:color w:val="7A6A55"/>
          <w:sz w:val="19"/>
        </w:rPr>
        <w:t>Vorlage zu Abschnitt 2.3 des Bandes 3a</w:t>
      </w:r>
    </w:p>
    <w:p>
      <w:pPr>
        <w:spacing w:after="60"/>
        <w:pBdr>
          <w:bottom w:val="single" w:sz="8" w:space="4" w:color="C9BBA6"/>
        </w:pBdr>
      </w:pPr>
      <w:r>
        <w:rPr>
          <w:rFonts w:ascii="Aptos" w:hAnsi="Aptos" w:cs="Aptos" w:eastAsia="Aptos"/>
          <w:b/>
          <w:color w:val="8C5A2B"/>
          <w:sz w:val="42"/>
        </w:rPr>
        <w:t>Unterweisungsnachweis</w:t>
      </w:r>
    </w:p>
    <w:p>
      <w:pPr>
        <w:spacing w:before="80" w:after="120"/>
      </w:pPr>
      <w:r>
        <w:rPr>
          <w:rFonts w:ascii="Aptos" w:hAnsi="Aptos" w:cs="Aptos" w:eastAsia="Aptos"/>
          <w:i/>
          <w:color w:val="7A6A55"/>
          <w:sz w:val="21"/>
        </w:rPr>
        <w:t>Ein Blatt je Unterweisung – Beleg für das Können, nicht nur für die Anwesenheit</w:t>
      </w:r>
    </w:p>
    <w:p>
      <w:pPr>
        <w:spacing w:after="160"/>
      </w:pPr>
      <w:r>
        <w:rPr>
          <w:rFonts w:ascii="Aptos" w:hAnsi="Aptos" w:cs="Aptos" w:eastAsia="Aptos"/>
          <w:b/>
          <w:i w:val="0"/>
          <w:color w:val="7A6A55"/>
          <w:sz w:val="18"/>
        </w:rPr>
        <w:t xml:space="preserve">Bezug im Buch: </w:t>
      </w:r>
      <w:r>
        <w:rPr>
          <w:rFonts w:ascii="Aptos" w:hAnsi="Aptos" w:cs="Aptos" w:eastAsia="Aptos"/>
          <w:b w:val="0"/>
          <w:i w:val="0"/>
          <w:color w:val="7A6A55"/>
          <w:sz w:val="18"/>
        </w:rPr>
        <w:t>Abschnitt 2.3 (mit 1.10 und 2.4; Sprache: 2.2); Norm: Abschnitte 7.2 und 7.3.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9639"/>
      </w:tblGrid>
      <w:tr>
        <w:tc>
          <w:tcPr>
            <w:tcW w:type="dxa" w:w="9638"/>
            <w:shd w:val="clear" w:color="auto" w:fill="EFE7DC"/>
            <w:tcBorders>
              <w:left w:val="single" w:sz="24" w:space="0" w:color="8C5A2B"/>
            </w:tcBorders>
          </w:tcPr>
          <w:p>
            <w:pPr>
              <w:spacing w:after="6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21"/>
              </w:rPr>
              <w:t>So benutzen Sie diese Vorlage</w:t>
            </w:r>
          </w:p>
          <w:p>
            <w:pPr>
              <w:spacing w:after="50"/>
              <w:ind w:left="312" w:hanging="312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 xml:space="preserve">1.  </w:t>
            </w:r>
            <w:r>
              <w:rPr>
                <w:rFonts w:ascii="Aptos" w:hAnsi="Aptos" w:cs="Aptos" w:eastAsia="Aptos"/>
                <w:b w:val="0"/>
                <w:i w:val="0"/>
                <w:sz w:val="19"/>
              </w:rPr>
              <w:t>Füllen Sie ein Blatt je Tätigkeit und Unterweisung aus. Die Bedingung (Boden, Maschine, Schutz) wird zuerst gesichert; geschult wird für die Restgefahr (Abschnitt 1.10).</w:t>
            </w:r>
          </w:p>
          <w:p>
            <w:pPr>
              <w:spacing w:after="50"/>
              <w:ind w:left="312" w:hanging="312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 xml:space="preserve">2.  </w:t>
            </w:r>
            <w:r>
              <w:rPr>
                <w:rFonts w:ascii="Aptos" w:hAnsi="Aptos" w:cs="Aptos" w:eastAsia="Aptos"/>
                <w:b w:val="0"/>
                <w:i w:val="0"/>
                <w:sz w:val="19"/>
              </w:rPr>
              <w:t>Unterweisen Sie durch Zeigen und Üben, in einer Sprache, die ankommt, und möglichst durch jemanden, der die Tätigkeit selbst beherrscht.</w:t>
            </w:r>
          </w:p>
          <w:p>
            <w:pPr>
              <w:spacing w:after="50"/>
              <w:ind w:left="312" w:hanging="312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 xml:space="preserve">3.  </w:t>
            </w:r>
            <w:r>
              <w:rPr>
                <w:rFonts w:ascii="Aptos" w:hAnsi="Aptos" w:cs="Aptos" w:eastAsia="Aptos"/>
                <w:b w:val="0"/>
                <w:i w:val="0"/>
                <w:sz w:val="19"/>
              </w:rPr>
              <w:t>Prüfen Sie das Können, ehe jemand unterschreibt: Vorführung, Gespräch oder Übung. Tragen Sie das Ergebnis je Person ein.</w:t>
            </w:r>
          </w:p>
          <w:p>
            <w:pPr>
              <w:spacing w:after="50"/>
              <w:ind w:left="312" w:hanging="312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 xml:space="preserve">4.  </w:t>
            </w:r>
            <w:r>
              <w:rPr>
                <w:rFonts w:ascii="Aptos" w:hAnsi="Aptos" w:cs="Aptos" w:eastAsia="Aptos"/>
                <w:b w:val="0"/>
                <w:i w:val="0"/>
                <w:sz w:val="19"/>
              </w:rPr>
              <w:t>Die Unterschrift bestätigt nur die Anwesenheit. Ob jemand die Tätigkeit kann, zeigt die Spalte „Verständnisprüfung“.</w:t>
            </w:r>
          </w:p>
          <w:p>
            <w:pPr>
              <w:spacing w:after="50"/>
              <w:ind w:left="312" w:hanging="312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 xml:space="preserve">5.  </w:t>
            </w:r>
            <w:r>
              <w:rPr>
                <w:rFonts w:ascii="Aptos" w:hAnsi="Aptos" w:cs="Aptos" w:eastAsia="Aptos"/>
                <w:b w:val="0"/>
                <w:i w:val="0"/>
                <w:sz w:val="19"/>
              </w:rPr>
              <w:t>Legen Sie Wiederholung und Wirksamkeitsprüfung fest und sehen Sie später nach, ob das Gelehrte im Tun ankam.</w:t>
            </w:r>
          </w:p>
        </w:tc>
      </w:tr>
    </w:tbl>
    <w:p>
      <w:pPr>
        <w:spacing w:after="0" w:line="144" w:lineRule="auto"/>
      </w:pPr>
    </w:p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1   Anlass, Ort und Zeit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Datum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Beginn – Ende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Abteilung / Zone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Arbeitsplatz / Ort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0" w:line="60" w:lineRule="exact"/>
      </w:pPr>
      <w:r>
        <w:rPr>
          <w:sz w:val="6"/>
        </w:rPr>
      </w:r>
    </w:p>
    <w:p>
      <w:pPr>
        <w:spacing w:after="60"/>
        <w:ind w:left="0"/>
      </w:pPr>
      <w:r>
        <w:rPr>
          <w:rFonts w:ascii="Aptos" w:hAnsi="Aptos" w:cs="Aptos" w:eastAsia="Aptos"/>
          <w:b w:val="0"/>
          <w:i w:val="0"/>
          <w:sz w:val="18"/>
        </w:rPr>
        <w:t>Anlass:</w:t>
      </w:r>
      <w:r>
        <w:rPr>
          <w:rFonts w:ascii="Aptos" w:hAnsi="Aptos" w:cs="Aptos" w:eastAsia="Aptos"/>
          <w:b w:val="0"/>
          <w:i w:val="0"/>
          <w:color w:val="8C5A2B"/>
          <w:sz w:val="18"/>
        </w:rPr>
        <w:t xml:space="preserve">   ☐ vor Aufnahme der Tätigkeit     ☐ bei Änderung (neue Maschine, neuer Stoff, geänderter Ablauf)     ☐ wiederkehrend / Auffrischung</w:t>
      </w:r>
    </w:p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2   Tätigkeit und Gefährdung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257"/>
      </w:tblGrid>
      <w:tr>
        <w:trPr>
          <w:cantSplit w:val="true"/>
          <w:trHeight w:val="538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Tätigkeit / Arbeitsplatz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z. B. Aufschnittmaschine, Reinigungsmittel, Leiter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  <w:tr>
        <w:trPr>
          <w:cantSplit w:val="true"/>
          <w:trHeight w:val="79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Gefährdung(en) der Tätigkeit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aus der Gefährdungsbeurteilung; die wirklichen Gefahren der eigenen Arbeit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  <w:tr>
        <w:trPr>
          <w:cantSplit w:val="true"/>
          <w:trHeight w:val="62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Schwelle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Was muss einer können, bevor man ihn allein lässt?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Betriebsanweisung am Platz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Nr. / Stand; aktuell und in der Sprache des Nutzers?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0" w:line="120" w:lineRule="auto"/>
      </w:pPr>
    </w:p>
    <w:p>
      <w:pPr>
        <w:spacing w:after="60"/>
        <w:ind w:left="0"/>
      </w:pPr>
      <w:r>
        <w:rPr>
          <w:rFonts w:ascii="Aptos" w:hAnsi="Aptos" w:cs="Aptos" w:eastAsia="Aptos"/>
          <w:b w:val="0"/>
          <w:i w:val="0"/>
          <w:sz w:val="18"/>
        </w:rPr>
        <w:t>Die Bedingung ist gesichert (Boden, Schutzeinrichtung, Maschine in Ordnung):</w:t>
      </w:r>
      <w:r>
        <w:rPr>
          <w:rFonts w:ascii="Aptos" w:hAnsi="Aptos" w:cs="Aptos" w:eastAsia="Aptos"/>
          <w:b w:val="0"/>
          <w:i w:val="0"/>
          <w:color w:val="8C5A2B"/>
          <w:sz w:val="18"/>
        </w:rPr>
        <w:t xml:space="preserve">   ☐ ja     ☐ nein, zuerst Maßnahme an der Bedingung</w:t>
      </w:r>
    </w:p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3   Inhalt der Unterweisung</w:t>
      </w:r>
    </w:p>
    <w:p>
      <w:pPr>
        <w:spacing w:after="40"/>
      </w:pPr>
      <w:r>
        <w:rPr>
          <w:rFonts w:ascii="Aptos" w:hAnsi="Aptos" w:cs="Aptos" w:eastAsia="Aptos"/>
          <w:b w:val="0"/>
          <w:i w:val="0"/>
          <w:sz w:val="19"/>
        </w:rPr>
        <w:t>Vermittelt wurde (Norm 7.3, Abschnitt 1.10):</w:t>
      </w:r>
    </w:p>
    <w:p>
      <w:pPr>
        <w:spacing w:after="60"/>
        <w:ind w:left="454" w:hanging="340"/>
      </w:pPr>
      <w:r>
        <w:rPr>
          <w:rFonts w:ascii="Aptos" w:hAnsi="Aptos" w:cs="Aptos" w:eastAsia="Aptos"/>
          <w:b/>
          <w:i w:val="0"/>
          <w:color w:val="8C5A2B"/>
          <w:sz w:val="21"/>
        </w:rPr>
        <w:t xml:space="preserve">☐  </w:t>
      </w:r>
      <w:r>
        <w:rPr>
          <w:rFonts w:ascii="Aptos" w:hAnsi="Aptos" w:cs="Aptos" w:eastAsia="Aptos"/>
          <w:b w:val="0"/>
          <w:i w:val="0"/>
          <w:sz w:val="19"/>
        </w:rPr>
        <w:t>die Gefährdungen dieser Tätigkeit und ihre Folgen bei Nichtbeachtung</w:t>
      </w:r>
    </w:p>
    <w:p>
      <w:pPr>
        <w:spacing w:after="60"/>
        <w:ind w:left="454" w:hanging="340"/>
      </w:pPr>
      <w:r>
        <w:rPr>
          <w:rFonts w:ascii="Aptos" w:hAnsi="Aptos" w:cs="Aptos" w:eastAsia="Aptos"/>
          <w:b/>
          <w:i w:val="0"/>
          <w:color w:val="8C5A2B"/>
          <w:sz w:val="21"/>
        </w:rPr>
        <w:t xml:space="preserve">☐  </w:t>
      </w:r>
      <w:r>
        <w:rPr>
          <w:rFonts w:ascii="Aptos" w:hAnsi="Aptos" w:cs="Aptos" w:eastAsia="Aptos"/>
          <w:b w:val="0"/>
          <w:i w:val="0"/>
          <w:sz w:val="19"/>
        </w:rPr>
        <w:t>die Regeln, der sichere Handgriff und das Verhalten im Notfall</w:t>
      </w:r>
    </w:p>
    <w:p>
      <w:pPr>
        <w:spacing w:after="60"/>
        <w:ind w:left="454" w:hanging="340"/>
      </w:pPr>
      <w:r>
        <w:rPr>
          <w:rFonts w:ascii="Aptos" w:hAnsi="Aptos" w:cs="Aptos" w:eastAsia="Aptos"/>
          <w:b/>
          <w:i w:val="0"/>
          <w:color w:val="8C5A2B"/>
          <w:sz w:val="21"/>
        </w:rPr>
        <w:t xml:space="preserve">☐  </w:t>
      </w:r>
      <w:r>
        <w:rPr>
          <w:rFonts w:ascii="Aptos" w:hAnsi="Aptos" w:cs="Aptos" w:eastAsia="Aptos"/>
          <w:b w:val="0"/>
          <w:i w:val="0"/>
          <w:sz w:val="19"/>
        </w:rPr>
        <w:t>das Recht, sich aus unmittelbarer, ernsthafter Gefahr zu entfernen, ohne Nachteil – ausdrücklich ausgesprochen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257"/>
      </w:tblGrid>
      <w:tr>
        <w:trPr>
          <w:cantSplit w:val="true"/>
          <w:trHeight w:val="510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Weitere Inhalte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0" w:line="120" w:lineRule="auto"/>
      </w:pPr>
    </w:p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4   Methode und Sprache</w:t>
      </w:r>
    </w:p>
    <w:p>
      <w:pPr>
        <w:spacing w:after="40"/>
      </w:pPr>
      <w:r>
        <w:rPr>
          <w:rFonts w:ascii="Aptos" w:hAnsi="Aptos" w:cs="Aptos" w:eastAsia="Aptos"/>
          <w:b w:val="0"/>
          <w:i w:val="0"/>
          <w:sz w:val="19"/>
        </w:rPr>
        <w:t>Methode (Kompetenz entsteht am Werk, nicht durch einen ausgehändigten Ordner):</w:t>
      </w:r>
    </w:p>
    <w:p>
      <w:pPr>
        <w:spacing w:after="60"/>
        <w:ind w:left="0"/>
      </w:pPr>
      <w:r>
        <w:rPr>
          <w:rFonts w:ascii="Aptos" w:hAnsi="Aptos" w:cs="Aptos" w:eastAsia="Aptos"/>
          <w:b w:val="0"/>
          <w:i w:val="0"/>
          <w:sz w:val="18"/>
        </w:rPr>
      </w:r>
      <w:r>
        <w:rPr>
          <w:rFonts w:ascii="Aptos" w:hAnsi="Aptos" w:cs="Aptos" w:eastAsia="Aptos"/>
          <w:b w:val="0"/>
          <w:i w:val="0"/>
          <w:color w:val="8C5A2B"/>
          <w:sz w:val="18"/>
        </w:rPr>
        <w:t xml:space="preserve">   ☐ Vorführung     ☐ begleitete erste Stunde (erfahrener Begleiter)     ☐ Üben unter Aufsicht     ☐ Gespräch     ☐ Notfallübung</w:t>
      </w:r>
    </w:p>
    <w:p>
      <w:pPr>
        <w:spacing w:after="40"/>
      </w:pPr>
      <w:r>
        <w:rPr>
          <w:rFonts w:ascii="Aptos" w:hAnsi="Aptos" w:cs="Aptos" w:eastAsia="Aptos"/>
          <w:b w:val="0"/>
          <w:i w:val="0"/>
          <w:sz w:val="19"/>
        </w:rPr>
        <w:t>Sprache (eine Anweisung, die der Empfänger nicht versteht, ist nicht kommuniziert; Norm 7.4.1, Abschnitt 2.2):</w:t>
      </w:r>
    </w:p>
    <w:p>
      <w:pPr>
        <w:spacing w:after="60"/>
        <w:ind w:left="0"/>
      </w:pPr>
      <w:r>
        <w:rPr>
          <w:rFonts w:ascii="Aptos" w:hAnsi="Aptos" w:cs="Aptos" w:eastAsia="Aptos"/>
          <w:b w:val="0"/>
          <w:i w:val="0"/>
          <w:sz w:val="18"/>
        </w:rPr>
      </w:r>
      <w:r>
        <w:rPr>
          <w:rFonts w:ascii="Aptos" w:hAnsi="Aptos" w:cs="Aptos" w:eastAsia="Aptos"/>
          <w:b w:val="0"/>
          <w:i w:val="0"/>
          <w:color w:val="8C5A2B"/>
          <w:sz w:val="18"/>
        </w:rPr>
        <w:t xml:space="preserve">   ☐ in der Sprache der Unterwiesenen     ☐ Bilder / Vorführung statt Text     ☐ Übersetzung durch:  ____________     ☐ Rückfrage: „Was machst du also als Erstes?“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Sprache der Unterweisung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Sprachen der Unterwiesenen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</w:tr>
    </w:tbl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5   Unterwiesene und Verständnisprüfung</w:t>
      </w:r>
    </w:p>
    <w:p>
      <w:pPr>
        <w:spacing w:after="60"/>
      </w:pPr>
      <w:r>
        <w:rPr>
          <w:rFonts w:ascii="Aptos" w:hAnsi="Aptos" w:cs="Aptos" w:eastAsia="Aptos"/>
          <w:b w:val="0"/>
          <w:i w:val="0"/>
          <w:sz w:val="18"/>
        </w:rPr>
        <w:t>Zuerst die Prüfung, dann die Unterschrift: Das Können beweist sich im gezeigten Handgriff. Freigabe: A = unter Aufsicht, B = Einfaches allein, Gefährliches begleitet, C = voll selbständig (erst, wenn gezeigt).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1247"/>
        <w:gridCol w:w="2324"/>
        <w:gridCol w:w="1360"/>
        <w:gridCol w:w="2324"/>
      </w:tblGrid>
      <w:tr>
        <w:trPr>
          <w:tblHeader w:val="true"/>
        </w:trPr>
        <w:tc>
          <w:tcPr>
            <w:tcW w:type="dxa" w:w="2381"/>
            <w:shd w:val="clear" w:color="auto" w:fill="8C5A2B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Name</w:t>
            </w:r>
          </w:p>
        </w:tc>
        <w:tc>
          <w:tcPr>
            <w:tcW w:type="dxa" w:w="1247"/>
            <w:shd w:val="clear" w:color="auto" w:fill="8C5A2B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Sprache</w:t>
            </w:r>
          </w:p>
        </w:tc>
        <w:tc>
          <w:tcPr>
            <w:tcW w:type="dxa" w:w="2324"/>
            <w:shd w:val="clear" w:color="auto" w:fill="8C5A2B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Prüfung: Können gezeigt?</w:t>
            </w:r>
          </w:p>
        </w:tc>
        <w:tc>
          <w:tcPr>
            <w:tcW w:type="dxa" w:w="1361"/>
            <w:shd w:val="clear" w:color="auto" w:fill="8C5A2B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Freigabe A / B / C</w:t>
            </w:r>
          </w:p>
        </w:tc>
        <w:tc>
          <w:tcPr>
            <w:tcW w:type="dxa" w:w="2324"/>
            <w:shd w:val="clear" w:color="auto" w:fill="8C5A2B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Unterschrift (nur: anwesend)</w:t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595" w:hRule="atLeast"/>
        </w:trPr>
        <w:tc>
          <w:tcPr>
            <w:tcW w:type="dxa" w:w="238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24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1361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  <w:tc>
          <w:tcPr>
            <w:tcW w:type="dxa" w:w="2324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7"/>
              </w:rPr>
            </w:r>
          </w:p>
        </w:tc>
      </w:tr>
    </w:tbl>
    <w:p>
      <w:pPr>
        <w:spacing w:after="0" w:line="12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257"/>
      </w:tblGrid>
      <w:tr>
        <w:trPr>
          <w:cantSplit w:val="true"/>
          <w:trHeight w:val="45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Wie wurde das Können geprüft?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☐ Vorführung     ☐ Gespräch / Fallfrage     ☐ Notfallübung     ☐ kurze Prüfung</w:t>
            </w:r>
          </w:p>
        </w:tc>
      </w:tr>
      <w:tr>
        <w:trPr>
          <w:cantSplit w:val="true"/>
          <w:trHeight w:val="62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Was wurde gezeigt oder gefragt?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der Handgriff, die Frage, der Notfallweg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Nicht bestanden: Nachschulung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Wer, wann, womit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0" w:line="120" w:lineRule="auto"/>
      </w:pPr>
    </w:p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6   Unterweisende Person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Name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Funktion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Datum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Unterschrift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60"/>
        <w:ind w:left="0"/>
      </w:pPr>
      <w:r>
        <w:rPr>
          <w:rFonts w:ascii="Aptos" w:hAnsi="Aptos" w:cs="Aptos" w:eastAsia="Aptos"/>
          <w:b w:val="0"/>
          <w:i w:val="0"/>
          <w:sz w:val="19"/>
        </w:rPr>
        <w:t>Die unterweisende Person beherrscht die Tätigkeit selbst:</w:t>
      </w:r>
      <w:r>
        <w:rPr>
          <w:rFonts w:ascii="Aptos" w:hAnsi="Aptos" w:cs="Aptos" w:eastAsia="Aptos"/>
          <w:b w:val="0"/>
          <w:i w:val="0"/>
          <w:color w:val="8C5A2B"/>
          <w:sz w:val="19"/>
        </w:rPr>
        <w:t xml:space="preserve">   ☐ ja     ☐ nein</w:t>
      </w:r>
    </w:p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7   Wiederholung und Intervall</w:t>
      </w:r>
    </w:p>
    <w:p>
      <w:pPr>
        <w:spacing w:after="60"/>
        <w:ind w:left="0"/>
      </w:pPr>
      <w:r>
        <w:rPr>
          <w:rFonts w:ascii="Aptos" w:hAnsi="Aptos" w:cs="Aptos" w:eastAsia="Aptos"/>
          <w:b w:val="0"/>
          <w:i w:val="0"/>
          <w:sz w:val="19"/>
        </w:rPr>
        <w:t>Wiederholung:</w:t>
      </w:r>
      <w:r>
        <w:rPr>
          <w:rFonts w:ascii="Aptos" w:hAnsi="Aptos" w:cs="Aptos" w:eastAsia="Aptos"/>
          <w:b w:val="0"/>
          <w:i w:val="0"/>
          <w:color w:val="8C5A2B"/>
          <w:sz w:val="19"/>
        </w:rPr>
        <w:t xml:space="preserve">   ☐ vor der Arbeit     ☐ bei jeder Änderung     ☐ in regelmäßigen Abständen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257"/>
      </w:tblGrid>
      <w:tr>
        <w:trPr>
          <w:cantSplit w:val="true"/>
          <w:trHeight w:val="45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Intervall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Festlegung des Hauses; gesetzliche Mindestabstände siehe unten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Nächster Termin / Auslöser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neue Maschine, neuer Stoff, geänderter Ablauf, neue Kraft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0" w:line="120" w:lineRule="auto"/>
      </w:pPr>
    </w:p>
    <w:p>
      <w:pPr>
        <w:spacing w:after="40"/>
      </w:pPr>
      <w:r>
        <w:rPr>
          <w:rFonts w:ascii="Aptos" w:hAnsi="Aptos" w:cs="Aptos" w:eastAsia="Aptos"/>
          <w:b w:val="0"/>
          <w:i/>
          <w:color w:val="7A6A55"/>
          <w:sz w:val="17"/>
        </w:rPr>
        <w:t>Seltene und ernste Tätigkeiten (Notgriff, Feuerlöscher, Evakuierung) verfallen am schnellsten und brauchen die Wiederkehr besonders. Rechtlicher Rahmen laut Buch: Deutschland § 12 ArbSchG, nach § 4 DGUV Vorschrift 1 mindestens einmal jährlich; Österreich § 14 ASchG; Schweiz Instruktion nach Unfallverhütungsverordnung und UVG sowie Branchenlösung der Gastrosuisse. Maßgeblich ist die jeweils gültige Fassung.</w:t>
      </w:r>
    </w:p>
    <w:p>
      <w:pPr>
        <w:keepNext/>
        <w:pageBreakBefore w:val="0"/>
        <w:spacing w:before="280" w:after="80"/>
        <w:pBdr>
          <w:bottom w:val="single" w:sz="6" w:space="2" w:color="C9BBA6"/>
        </w:pBdr>
      </w:pPr>
      <w:r>
        <w:rPr>
          <w:rFonts w:ascii="Aptos" w:hAnsi="Aptos" w:cs="Aptos" w:eastAsia="Aptos"/>
          <w:b/>
          <w:color w:val="8C5A2B"/>
          <w:sz w:val="28"/>
        </w:rPr>
        <w:t>8   Nachweis der Wirksamkeit (Norm 7.2)</w:t>
      </w:r>
    </w:p>
    <w:p>
      <w:pPr>
        <w:spacing w:after="60"/>
      </w:pPr>
      <w:r>
        <w:rPr>
          <w:rFonts w:ascii="Aptos" w:hAnsi="Aptos" w:cs="Aptos" w:eastAsia="Aptos"/>
          <w:b w:val="0"/>
          <w:i w:val="0"/>
          <w:sz w:val="18"/>
        </w:rPr>
        <w:t>Nicht, dass geschult wurde, zählt, sondern dass der Mensch danach kann. Sehen Sie nach: Beobachtung am Arbeitsplatz, kurze Prüfung oder Nachfragen nach Wochen.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Geprüft am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Durch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</w:tr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Wie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60"/>
        <w:ind w:left="0"/>
      </w:pPr>
      <w:r>
        <w:rPr>
          <w:rFonts w:ascii="Aptos" w:hAnsi="Aptos" w:cs="Aptos" w:eastAsia="Aptos"/>
          <w:b w:val="0"/>
          <w:i w:val="0"/>
          <w:sz w:val="19"/>
        </w:rPr>
        <w:t>Das Können zeigt sich im Tun:</w:t>
      </w:r>
      <w:r>
        <w:rPr>
          <w:rFonts w:ascii="Aptos" w:hAnsi="Aptos" w:cs="Aptos" w:eastAsia="Aptos"/>
          <w:b w:val="0"/>
          <w:i w:val="0"/>
          <w:color w:val="8C5A2B"/>
          <w:sz w:val="19"/>
        </w:rPr>
        <w:t xml:space="preserve">   ☐ ja     ☐ teilweise     ☐ nein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257"/>
      </w:tblGrid>
      <w:tr>
        <w:trPr>
          <w:cantSplit w:val="true"/>
          <w:trHeight w:val="510" w:hRule="atLeast"/>
        </w:trPr>
        <w:tc>
          <w:tcPr>
            <w:tcW w:type="dxa" w:w="2381"/>
            <w:shd w:val="clear" w:color="auto" w:fill="EFE7DC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Folge</w:t>
            </w:r>
          </w:p>
          <w:p>
            <w:pPr>
              <w:spacing w:after="20"/>
            </w:pPr>
            <w:r>
              <w:rPr>
                <w:rFonts w:ascii="Aptos" w:hAnsi="Aptos" w:cs="Aptos" w:eastAsia="Aptos"/>
                <w:b w:val="0"/>
                <w:i/>
                <w:color w:val="7A6A55"/>
                <w:sz w:val="16"/>
              </w:rPr>
              <w:t>Nachschulung, Maßnahme an der Bedingung, Anpassung der Betriebsanweisung</w:t>
            </w:r>
          </w:p>
        </w:tc>
        <w:tc>
          <w:tcPr>
            <w:tcW w:type="dxa" w:w="7257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0" w:line="12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Aufbewahrung des Nachweises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  <w:tc>
          <w:tcPr>
            <w:tcW w:type="dxa" w:w="1814"/>
          </w:tcPr>
          <w:p>
            <w:pPr>
              <w:spacing w:after="20"/>
            </w:pPr>
            <w:r>
              <w:rPr>
                <w:rFonts w:ascii="Aptos" w:hAnsi="Aptos" w:cs="Aptos" w:eastAsia="Aptos"/>
                <w:b/>
                <w:i w:val="0"/>
                <w:color w:val="8C5A2B"/>
                <w:sz w:val="19"/>
              </w:rPr>
              <w:t>Aufbewahrt von</w:t>
            </w:r>
          </w:p>
        </w:tc>
        <w:tc>
          <w:tcPr>
            <w:tcW w:type="dxa" w:w="3005"/>
            <w:tcBorders>
              <w:bottom w:val="single" w:sz="6" w:space="0" w:color="C9BBA6"/>
            </w:tcBorders>
          </w:tcPr>
          <w:p>
            <w:pPr>
              <w:spacing w:after="2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160" w:after="60"/>
      </w:pPr>
      <w:r>
        <w:rPr>
          <w:rFonts w:ascii="Aptos" w:hAnsi="Aptos" w:cs="Aptos" w:eastAsia="Aptos"/>
          <w:b/>
          <w:color w:val="8C5A2B"/>
          <w:sz w:val="23"/>
        </w:rPr>
        <w:t>Was diese Vorlage nicht ist</w:t>
      </w:r>
    </w:p>
    <w:p>
      <w:pPr>
        <w:jc w:val="both"/>
      </w:pPr>
      <w:r>
        <w:rPr>
          <w:rFonts w:ascii="Aptos" w:hAnsi="Aptos" w:cs="Aptos" w:eastAsia="Aptos"/>
          <w:b w:val="0"/>
          <w:i w:val="0"/>
          <w:sz w:val="18"/>
        </w:rPr>
        <w:t>Kein Beweis der Kompetenz: Eine unterschriebene Liste belegt nur die Anwesenheit; das Können belegt die Vorführung. Der Nachweis ist der Schatten des Könnens, nicht das Können selbst. Die Norm schreibt keinen Lehrplan, keine Schulungssoftware und kein E-Learning vor. Die Vorlage ersetzt weder die Norm noch eine Rechtsberatung noch die Gefährdungsbeurteilung; verbindlich ist die jeweils gültige Fassung von Gesetz und Norm (heute ISO 45001:2018, EN ISO 45001:2023, Klima-Änderung A1:2024; der Entwurf ISO/DIS 45001, 2027 erwartet, bindet nicht).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 w:eastAsia="Aptos"/>
        <w:color w:val="7A6A55"/>
        <w:sz w:val="16"/>
      </w:rPr>
      <w:t xml:space="preserve">Das Steuer und die Lupe · Band 3a · ISO 45001 · buecher.effedore.com  ·  Seite </w:t>
    </w:r>
    <w:r>
      <w:rPr>
        <w:rFonts w:ascii="Aptos" w:hAnsi="Aptos" w:cs="Aptos" w:eastAsia="Aptos"/>
        <w:color w:val="7A6A55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 w:eastAsia="Aptos"/>
      <w:color w:val="2B2B2B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